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263862200236886220100101570015829244)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color w:val="000099"/>
          <w:sz w:val="24"/>
          <w:szCs w:val="24"/>
        </w:rPr>
        <w:t>передаче неисключительных прав на использование программного обеспечения «РедОС»</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2"/>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Style42"/>
        <w:bidi w:val="0"/>
        <w:spacing w:lineRule="auto" w:line="240"/>
        <w:ind w:firstLine="709"/>
        <w:jc w:val="both"/>
        <w:rPr>
          <w:rFonts w:ascii="PT Astra Serif" w:hAnsi="PT Astra Serif"/>
          <w:color w:val="000000"/>
          <w:szCs w:val="24"/>
        </w:rPr>
      </w:pPr>
      <w:r>
        <w:rPr>
          <w:rFonts w:ascii="PT Astra Serif" w:hAnsi="PT Astra Serif"/>
          <w:color w:val="000000"/>
          <w:szCs w:val="24"/>
        </w:rPr>
        <w:t>1.5. Для передачи неисключительных лицензионных прав между Исполнителем и Заказчиком заключается Лицензионный договор на предоставление прав использования программы для ЭВМ (Приложение 3).</w:t>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 w:val="24"/>
          <w:szCs w:val="24"/>
          <w:lang w:val="ru-RU"/>
        </w:rPr>
        <w:t>смета расходов на 2026 год и на плановый период 2027 и 2028 годов (плановый период 2027 год, муниципальная программа города Югорска «Развитие информационного общества»)</w:t>
      </w:r>
      <w:r>
        <w:rPr>
          <w:rFonts w:ascii="PT Astra Serif" w:hAnsi="PT Astra Serif"/>
          <w:color w:val="000099"/>
          <w:szCs w:val="24"/>
        </w:rPr>
        <w:t>.</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2"/>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2"/>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2"/>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2"/>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2"/>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2"/>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2"/>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2"/>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2"/>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w:t>
      </w:r>
      <w:r>
        <w:rPr>
          <w:rFonts w:ascii="PT Astra Serif" w:hAnsi="PT Astra Serif"/>
          <w:color w:val="000099"/>
          <w:sz w:val="24"/>
          <w:szCs w:val="24"/>
          <w:lang w:val="ru-RU"/>
        </w:rPr>
        <w:t>01.02.2027 по 31.03.2027</w:t>
      </w:r>
      <w:r>
        <w:rPr>
          <w:rFonts w:ascii="PT Astra Serif" w:hAnsi="PT Astra Serif"/>
          <w:color w:val="000099"/>
          <w:szCs w:val="24"/>
        </w:rPr>
        <w:t xml:space="preserve">.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на оказание услуг по передаче неисключительных прав на использование программного обеспечения «РедОС».</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2"/>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2"/>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18.05.2027.</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bidi w:val="0"/>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bidi w:val="0"/>
        <w:spacing w:lineRule="auto" w:line="240" w:before="0" w:after="0"/>
        <w:ind w:firstLine="709"/>
        <w:rPr>
          <w:rFonts w:ascii="PT Astra Serif" w:hAnsi="PT Astra Serif"/>
          <w:szCs w:val="24"/>
        </w:rPr>
      </w:pPr>
      <w:r>
        <w:rPr>
          <w:rFonts w:ascii="PT Astra Serif" w:hAnsi="PT Astra Serif"/>
          <w:szCs w:val="24"/>
        </w:rPr>
        <w:t>- Спецификация (Приложение 2);</w:t>
      </w:r>
    </w:p>
    <w:p>
      <w:pPr>
        <w:pStyle w:val="128"/>
        <w:bidi w:val="0"/>
        <w:spacing w:lineRule="auto" w:line="240" w:before="0" w:after="0"/>
        <w:ind w:firstLine="709"/>
        <w:jc w:val="both"/>
        <w:rPr>
          <w:rFonts w:ascii="PT Astra Serif" w:hAnsi="PT Astra Serif"/>
          <w:szCs w:val="24"/>
        </w:rPr>
      </w:pPr>
      <w:r>
        <w:rPr>
          <w:rFonts w:ascii="PT Astra Serif" w:hAnsi="PT Astra Serif"/>
          <w:szCs w:val="24"/>
        </w:rPr>
        <w:t>- Форма лицензионного договора на предоставление права использования программы для ЭВМ (Приложение 3).</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56"/>
        <w:gridCol w:w="4549"/>
      </w:tblGrid>
      <w:tr>
        <w:trPr/>
        <w:tc>
          <w:tcPr>
            <w:tcW w:w="5656"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9"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4" w:name="OLE_LINK10"/>
      <w:bookmarkStart w:id="5" w:name="OLE_LINK9"/>
      <w:r>
        <w:rPr>
          <w:rFonts w:ascii="PT Astra Serif" w:hAnsi="PT Astra Serif"/>
          <w:b/>
          <w:bCs/>
          <w:sz w:val="24"/>
          <w:szCs w:val="24"/>
        </w:rPr>
        <w:t>1. Предмет муниципального контракта:</w:t>
      </w:r>
      <w:r>
        <w:rPr>
          <w:rFonts w:ascii="PT Astra Serif" w:hAnsi="PT Astra Serif"/>
          <w:sz w:val="24"/>
          <w:szCs w:val="24"/>
        </w:rPr>
        <w:t xml:space="preserve"> 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b/>
          <w:bCs/>
        </w:rPr>
      </w:pPr>
      <w:r>
        <w:rPr>
          <w:rFonts w:ascii="PT Astra Serif" w:hAnsi="PT Astra Serif"/>
          <w:b/>
          <w:bCs/>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t>2.2. Срок оказания услуг по передаче неисключительных прав на использование программного обеспечения «РедОС»: с 01.02.2027 по 31.03.2027.</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t>2.3. 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2.4. Программное обеспечение должно быть зарегистрировано в Едином реестре российских программ для электронных вычислительных машин и баз данных в соответствии с постановлением Правительства РФ от 16.11.2015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b/>
          <w:bCs/>
        </w:rPr>
      </w:pPr>
      <w:r>
        <w:rPr>
          <w:rFonts w:ascii="PT Astra Serif" w:hAnsi="PT Astra Serif"/>
          <w:b/>
          <w:bCs/>
          <w:color w:val="00000A"/>
          <w:sz w:val="24"/>
        </w:rPr>
        <w:t>3. Перечень предоставляемых услуг:</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7"/>
        <w:gridCol w:w="1276"/>
        <w:gridCol w:w="1843"/>
        <w:gridCol w:w="4990"/>
        <w:gridCol w:w="812"/>
        <w:gridCol w:w="718"/>
      </w:tblGrid>
      <w:tr>
        <w:trPr/>
        <w:tc>
          <w:tcPr>
            <w:tcW w:w="56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12"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18"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star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star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star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Оказание услуг по предоставлению лицензий на право использования операционной системы «РедОС» (эквивалент не предусмотрен в связи с необходимостью совместимости с уже используемым программным обеспечением Заказчика):</w:t>
            </w:r>
          </w:p>
          <w:p>
            <w:pPr>
              <w:pStyle w:val="Normal"/>
              <w:bidi w:val="0"/>
              <w:jc w:val="both"/>
              <w:rPr>
                <w:rFonts w:ascii="PT Astra Serif" w:hAnsi="PT Astra Serif"/>
                <w:szCs w:val="16"/>
              </w:rPr>
            </w:pPr>
            <w:r>
              <w:rPr>
                <w:rFonts w:ascii="PT Astra Serif" w:hAnsi="PT Astra Serif"/>
                <w:szCs w:val="16"/>
              </w:rPr>
              <w:t>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w:t>
            </w:r>
          </w:p>
        </w:tc>
        <w:tc>
          <w:tcPr>
            <w:tcW w:w="812" w:type="dxa"/>
            <w:tcBorders>
              <w:star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18"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53</w:t>
            </w:r>
          </w:p>
        </w:tc>
      </w:tr>
    </w:tbl>
    <w:p>
      <w:pPr>
        <w:pStyle w:val="12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b/>
          <w:bCs/>
        </w:rPr>
      </w:pPr>
      <w:r>
        <w:rPr>
          <w:rFonts w:ascii="PT Astra Serif" w:hAnsi="PT Astra Serif"/>
          <w:b/>
          <w:bCs/>
          <w:sz w:val="24"/>
          <w:szCs w:val="24"/>
        </w:rPr>
        <w:t xml:space="preserve">4. Требования к безопасности программного обеспечения (ОС): </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4.1.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безопасности информации к операционным системам» (приказ ФСТЭК России от 19.08.2016 №119) не ниже профиля защиты «Профиль защиты операционных систем типа «А» четвертого класса защиты» (ИТ.ОС.А4.ПЗ) и «Требования по безопасности информации, устанавливающим уровни доверия к средствам технической защиты информации и средствам обеспечения безопасности информационных технологий» (Приказ ФСТЭК России от 02.06.2020 №76) по 4 уровню доверия.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4.2.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по безопасности информации к средствам виртуализации» (Приказ ФСТЭК России от 27.10.2022 №187) по 4 классу защиты, «Требования по безопасности информации к средствам контейнеризации» (Приказ ФСТЭК России от 04.07.2022 №118) по 4 классу защиты.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4.3. Наличие инструмента (с графическим интерфейсом), выполняющего проверку системы на соответствие мерам защиты информации, определенным в приказе ФСТЭК России от </w:t>
      </w:r>
      <w:r>
        <w:rPr>
          <w:rFonts w:ascii="PT Astra Serif" w:hAnsi="PT Astra Serif"/>
          <w:sz w:val="24"/>
          <w:szCs w:val="24"/>
          <w:lang w:val="en-US"/>
        </w:rPr>
        <w:t>11.04.2025</w:t>
      </w:r>
      <w:r>
        <w:rPr>
          <w:rFonts w:ascii="PT Astra Serif" w:hAnsi="PT Astra Serif"/>
          <w:sz w:val="24"/>
          <w:szCs w:val="24"/>
        </w:rPr>
        <w:t xml:space="preserve"> №</w:t>
      </w:r>
      <w:r>
        <w:rPr>
          <w:rFonts w:ascii="PT Astra Serif" w:hAnsi="PT Astra Serif"/>
          <w:sz w:val="24"/>
          <w:szCs w:val="24"/>
          <w:lang w:val="en-US"/>
        </w:rPr>
        <w:t>117</w:t>
      </w:r>
      <w:r>
        <w:rPr>
          <w:rFonts w:ascii="PT Astra Serif" w:hAnsi="PT Astra Serif"/>
          <w:sz w:val="24"/>
          <w:szCs w:val="24"/>
        </w:rPr>
        <w:t>, мерам защиты информации определенным в приказе ФСТЭК России от 18.02.2013 №21.</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4.4. Наличие пакетного менеджера в составе ОС, который должен обеспечивать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наличия доступных обновлений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информации об обновлениях безопасности (номер CVE, уязвимый пакет, его версия и версия пакета устраняющего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установка обновления безопасности по идентификатору обновления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Наличие в составе ОС программы для обнаружения уязвимостей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объектом сканирования могут являться локальные файловые системы, образы контейнеров, манифесты развертывания контейнеров, кластеры контейнеров, репозитории, образы виртуальных машин;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сканирование по базам данных уязвимостей, в том числе: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общеизвестных уязвимостей информационной безопасности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Банк данных угроз безопасности информации Федеральной службы по техническому и экспортному контролю (БДУ ФСТЭК России);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уязвимостей формируемой вендором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обнаружение секретов в конфигурационных файлах (пароли, токены, приватные ключи);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База данных уязвимостей для программы обнаружения уязвимостей должна поставляться в формате docker-образа.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ОС должна иметь подтверждённую совместимость с средством защиты информации от несанкционированного доступа «Secret Net LSP» (Правообладатель ООО «Код Безопасности») версии 1.12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4.6. ОС должна иметь подтверждённую совместимость с средством защиты данных и контроля безопасности конечных точек «Secret Net Studio для Linux» (Правообладатель ООО «Код Безопасности») версии 8.2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b/>
          <w:bCs/>
        </w:rPr>
      </w:pPr>
      <w:r>
        <w:rPr>
          <w:rFonts w:ascii="PT Astra Serif" w:hAnsi="PT Astra Serif"/>
          <w:b/>
          <w:bCs/>
          <w:sz w:val="24"/>
          <w:szCs w:val="24"/>
        </w:rPr>
        <w:t>5. Требования к общесистемным функциям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5.1. ОС должна быть построена на ядре Linux и предназначена для функционирования на процессорах архитектуры x86_64 (64-разрядные процессоры Intel и AMD), aarch64 (в том числе процессоры «Байкал»), должны быть отдельные образы операционной системы в сертифицированном исполнении для каждой архитектуры.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5.2. Наличие в составе ОС ядра Linux не ниже версии 6.12.</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5.3. Наличие в составе ОС программы (с графическим интерфейсом) для настройки используемых версий ядра Linux. Программа должна обеспечивать возможность установки доступных обновлений, удаления старых версий ядер, изменения порядка загрузки ядер.</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5.4. Возможность автоматического конфигурирования при установке в среде виртуализации (средствами cloud-init).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5.5. Наличие корневых TLS-сертификатов для возможности подключения к  государственным информационным системам и прочими интернет-ресурсами: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Минцифры России (https://www.gosuslugi.ru/tls);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ТЦИ (</w:t>
      </w:r>
      <w:hyperlink r:id="rId7">
        <w:r>
          <w:rPr>
            <w:rStyle w:val="Hyperlink"/>
            <w:rFonts w:ascii="PT Astra Serif" w:hAnsi="PT Astra Serif"/>
            <w:sz w:val="24"/>
            <w:szCs w:val="24"/>
          </w:rPr>
          <w:t>https://tlscc.ru/</w:t>
        </w:r>
      </w:hyperlink>
      <w:r>
        <w:rPr>
          <w:rFonts w:ascii="PT Astra Serif" w:hAnsi="PT Astra Serif"/>
          <w:sz w:val="24"/>
          <w:szCs w:val="24"/>
        </w:rPr>
        <w: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5.6. ОС должна использовать «Реестр адресно-номерных ресурсов (РАНР) российского сегмента интернета» (https://w.ranr.noc.gov.ru/) в качестве whois-сервиса по умолчанию.</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5.7. Наличие в составе ОС инструмента (с графическим и консольным интерфейсом) для обновления системы между мажорными версиями ОС без переустановки,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обновление пакетной базы ОС (включая ядро) для приведения в соответствие с новой мажорной версией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использование локальных репозиториев для обновления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выбор каталога файловой системы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достаточности свободного места в системе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формирование журнала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возврат к старой версии ОС, в случае возникновения ошибок в процессе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как в графическом, так и в консольном интерфейсе.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5.8. Наличие в составе ОС инструмента (с графическим интерфейсом) обеспечивающего обезличенный сбор информации об ошибках и инцидентах, появившихся при эксплуатации ОС. Информация должна сохраняться на локальном ПК в виде архива для передачи в техническую поддержку. Данный функционал должен обеспечивать агрегацию следующих данных: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времени события запуска и остановки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информационные сообщения и ошибок системы во время загрузки и во время работы;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статусы системных сервисов и список запущенных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журналы событий работы системных сервисов и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домене Windows, если ПК введен в домен;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об аппаратном обеспечении ПК и подключенных периферийных устройствах;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сетевых настройках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списка ПО установленного из репозитория и список стороннего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история событий установки и обновления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загружаемых модулей во время запуска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настройки системных сервисов;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общая информация о дисковой подсистеме, информация об LVM и SMART.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 контроля целостности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5.9. Наличие в составе ОС криптографического инструмента OpenSSL с длительным сроком поддержки (LTS) версии 3 и выше.</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6. Требования к функциям пользовательского окружения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 ОС должна предлагать при установке выбор графических окружений рабочего стола предназначенных для следующих сценариев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в качестве настольной системы (настольные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на портативных устройствах с сенсорным экраном.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 Графические окружения рабочего стола должны предоставлять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главное меню с функцией поиска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dock-панель для запуска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панель уведомлений;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расположением панелей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виджетами рабочего стола и панелей;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светлые и темные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настройка нескольких виртуальных рабочих столов;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жестов для сенсорных экранов;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масштабирование интерфейса в диапазоне 100%, 125%, 150%, 175%, 200%;</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ночная цветовая схема с настройкой цветовой температуры и периода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6.3. Графическое окружения рабочего стола должно предоставлять следующие специальные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экранный диктор orca и синтезатор речи rhvoice;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высококонтрастные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экранная клавиатура и экранная лупа.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6.4. Экран входа в систему должен обеспечивать возможность выбора доступной сети Wi-Fi и подключения к выбранной сети Wi-Fi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6.5. Экран входа в систему должен обеспечивать возможность установить VPN-соединение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6.6. Экран входа в систему должен обеспечивать доступ к специальным возможностям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6.7. Наличие в составе ОС программы (с графическим интерфейсом) для установки Интернет-браузера из Реестра отечественного ПО. ОС должна обеспечивать поставку обновлений установленного Интернет-браузера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6.8. Наличие в составе ОС программы (с графическим интерфейсом) для установки офисного пакета из Реестра отечественного ПО. ОС должна обеспечивать поставку обновлений установленного офисного пакета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6.9. Наличие в составе ОС инструмента (с графическим интерфейсом) для сохранения персональных данных пользователя в свойствах офисных документов и удаления персональных данных пользователя из свойств офисных документов, включая следующие персональные данные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имя автора документа и дату примечаний;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об исправлениях в документе;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пользователях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версии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настройках принтера.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6.10. Наличие в составе ОС программы (с графическим интерфейсом), обеспечивающей настройку двух рабочих мест на одном ПК (при условии наличия в ПК двух видеоадаптеров).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6.11. Наличие в составе ОС программы (с графическим интерфейсом) для выбора используемой по умолчанию видеокарты (для ПК с видеоадаптером Intel и Nvidia), в том числе для назначения используемой видеокарты отдельными приложениями.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6.12. Наличие в составе ОС программы (с графическим интерфейсом) для настройки функционирования ОС в режиме киоска с следующими возможностями и ограничениями: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настройки режима киоска для каждого пользователя в отдельности (включая настройку индивидуального списка доступных приложений) на одном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программ с графическим интерфейсом, кроме явно разрешённых администратором;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свойств и содержимого главной панели на рабочем столе;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содержимого рабочего стола (создание/удаление/изменение ярлыков, создание/удаление/изменение иных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автоматическое монтирование внешних накопителей;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смену виртуальной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файлов с установленным битом SUID.</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 Должна быть обеспечена возможность применить каждое ограничение по отдельности.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6.13. Наличие в составе ОС программы (с графическим интерфейсом) для ввода рабочей станции в домен MS AD, Samba DC,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6.14. Наличие в составе ОС программы (с графическим интерфейсом) для самостоятельной смены пароля доменным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6.15. ОC должна поддерживать следующие технологии для доменных пользователей: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доменного пользователя с помощью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блокировка сеанса доменного пользователя при извлечении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и авторизация по сертификатам открытых ключей (802.1x).</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6.16. Наличие в составе ОС программы (с графическим интерфейсом) для управления общим доступом к каталогам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создание сетевого каталога в доменах MS AD, Samba DC и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настройка прав доступа пользователей и групп к сетевым каталогам с возможностью выбора доступных OU для MS AD и Samba DC;</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протоколирование событий в сетевых каталогах (настройка уровня протоколирования, выбор отслеживаемых событий).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6.17. Наличие в составе ОС программы (с графическим интерфейсом) для подключения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6.18. Наличие в составе ОС программы (с графическим интерфейсом) для ограничения монтирования USB-устройств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полная блокировка usb-накопителей, usb-модемов, всех usb-устройств, устройств использующих библиотеку gphoto (цифровые камеры);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монтирование usb-устройств по «белому» списку, выбор доступных usb-устройств должен происходить по введенным пользователем параметрам;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редактирования содержимого правил ограничения монтирования usb-устройств, т.е добавление и удаление параметров;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добавление личной привязки к usb-устройств, т.е. разрешение монтирования usb-устройств определенным пользователям и группам;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доступных параметров всех доступных usb-устройств, подключенных к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регистрация событий подключения и отключения usb-устройств (выбор регистрируемых параметров usb-устройств).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6.19. Наличие в составе ОС программы (с графическим интерфейсом) для графического терминального доступа, обладающей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общего буфера обмена;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терминального сервера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использования ключевой информации клиента в терминальной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аутентификации при помощи ssh-ключей и Kerberos.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6.20. Наличие в составе ОС программы (с графическим интерфейсом) для доступа к виртуальным рабочим столам, позволяющей: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контроль состояния виртуальных машин, их запуск и остановку;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подключаться к консолям виртуальных машин по протоколам SPICE и RDP;</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проброса USB устройств, в т.ч веб камер и токенов на виртуальную машину;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воспроизводить звук с виртуальных машин на оборудовании клиентской рабочей станции;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отображение консоли виртуальных машин на полный экран в высоком разрешении;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при наличии в доступе пользователя одной виртуальной машины, после авторизации должно происходить автоматическое подключение к ее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выключить и перезагрузить клиентскую рабочую станцию из графического интерфейса.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7. Требования к функциям администрирования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7.1. Наличие в составе ОС клиента системы централизованного управления конфигурациями информационной инфраструктуры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централизованной установки клиента на АРМ средствами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запуска сценариев автоматизации (групповых политик) по расписанию или принудительно с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отправка на сервер статуса выполнения сценария и информации о состоянии пользовательских сессий;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исполнения сценариев системы как от локального, так и от доменного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наличие сценариев управления, выполняющих следующие задачи: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а) установка и удаление программ, обновление системы, настройка используемых репозиториев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б) удаление временных системных и пользовательских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в) подключение принтера, прокси-сервера,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г) смена обоев и добавление ярлыков на рабочий стол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д) выполнение заданных администратором Bash-скриптов;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е) настройки безопасности, такие как: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продолжительности времени до блокировки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на запуск программ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сложности паролей;</w:t>
      </w:r>
    </w:p>
    <w:p>
      <w:pPr>
        <w:pStyle w:val="Normal"/>
        <w:bidi w:val="0"/>
        <w:spacing w:before="0" w:after="0"/>
        <w:ind w:firstLine="709"/>
        <w:contextualSpacing/>
        <w:jc w:val="both"/>
        <w:rPr>
          <w:rFonts w:ascii="PT Astra Serif" w:hAnsi="PT Astra Serif"/>
          <w:b w:val="false"/>
          <w:bCs w:val="false"/>
          <w:sz w:val="24"/>
          <w:szCs w:val="24"/>
        </w:rPr>
      </w:pPr>
      <w:bookmarkEnd w:id="4"/>
      <w:bookmarkEnd w:id="5"/>
      <w:r>
        <w:rPr>
          <w:rFonts w:ascii="PT Astra Serif" w:hAnsi="PT Astra Serif"/>
          <w:b w:val="false"/>
          <w:bCs w:val="false"/>
          <w:color w:val="000000"/>
          <w:sz w:val="24"/>
          <w:szCs w:val="24"/>
        </w:rPr>
        <w:t xml:space="preserve">       </w:t>
      </w:r>
      <w:r>
        <w:rPr>
          <w:rFonts w:ascii="PT Astra Serif" w:hAnsi="PT Astra Serif"/>
          <w:b w:val="false"/>
          <w:bCs w:val="false"/>
          <w:color w:val="000000"/>
          <w:sz w:val="24"/>
          <w:szCs w:val="24"/>
        </w:rPr>
        <w:t>- ограничение доступа к USB-накопителям.</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46"/>
        <w:gridCol w:w="1139"/>
        <w:gridCol w:w="972"/>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cs="Tahoma" w:ascii="PT Astra Serif" w:hAnsi="PT Astra Serif"/>
                <w:sz w:val="24"/>
                <w:szCs w:val="24"/>
              </w:rPr>
              <w:t>Услуги по предоставлению лицензий на право использовать компьютерное программное обеспечение (Простая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 (код ОКПД2 58.29.50.000)</w:t>
            </w:r>
          </w:p>
        </w:tc>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53</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r>
        <w:br w:type="page"/>
      </w:r>
    </w:p>
    <w:p>
      <w:pPr>
        <w:pStyle w:val="Normal"/>
        <w:spacing w:before="0" w:after="0"/>
        <w:ind w:firstLine="709"/>
        <w:jc w:val="end"/>
        <w:rPr>
          <w:rFonts w:ascii="PT Astra Serif" w:hAnsi="PT Astra Serif"/>
          <w:color w:val="00000A"/>
          <w:sz w:val="24"/>
          <w:szCs w:val="24"/>
        </w:rPr>
      </w:pPr>
      <w:r>
        <w:rPr>
          <w:rFonts w:ascii="PT Astra Serif" w:hAnsi="PT Astra Serif"/>
          <w:color w:val="00000A"/>
          <w:sz w:val="24"/>
          <w:szCs w:val="24"/>
        </w:rPr>
        <w:t>Приложение 3</w:t>
      </w:r>
    </w:p>
    <w:p>
      <w:pPr>
        <w:pStyle w:val="Normal"/>
        <w:ind w:firstLine="709"/>
        <w:jc w:val="end"/>
        <w:rPr>
          <w:rFonts w:ascii="PT Astra Serif" w:hAnsi="PT Astra Serif"/>
          <w:color w:val="00000A"/>
          <w:sz w:val="24"/>
          <w:szCs w:val="24"/>
        </w:rPr>
      </w:pPr>
      <w:r>
        <w:rPr>
          <w:rFonts w:ascii="PT Astra Serif" w:hAnsi="PT Astra Serif"/>
          <w:color w:val="00000A"/>
          <w:sz w:val="24"/>
          <w:szCs w:val="24"/>
        </w:rPr>
        <w:t>к Муниципальному контракту</w:t>
      </w:r>
    </w:p>
    <w:p>
      <w:pPr>
        <w:pStyle w:val="Normal"/>
        <w:widowControl w:val="false"/>
        <w:tabs>
          <w:tab w:val="clear" w:pos="708"/>
          <w:tab w:val="left" w:pos="709" w:leader="none"/>
        </w:tabs>
        <w:suppressAutoHyphens w:val="true"/>
        <w:ind w:firstLine="709"/>
        <w:jc w:val="end"/>
        <w:rPr>
          <w:rFonts w:ascii="PT Astra Serif" w:hAnsi="PT Astra Serif"/>
          <w:color w:val="00000A"/>
          <w:sz w:val="24"/>
        </w:rPr>
      </w:pPr>
      <w:r>
        <w:rPr>
          <w:rFonts w:ascii="PT Astra Serif" w:hAnsi="PT Astra Serif"/>
          <w:color w:val="00000A"/>
          <w:sz w:val="24"/>
        </w:rPr>
        <w:t xml:space="preserve">№ </w:t>
      </w:r>
      <w:r>
        <w:rPr>
          <w:rFonts w:ascii="PT Astra Serif" w:hAnsi="PT Astra Serif"/>
          <w:color w:val="00000A"/>
          <w:sz w:val="24"/>
        </w:rPr>
        <w:t>____ от «___» _______ 202__ г.</w:t>
      </w:r>
    </w:p>
    <w:p>
      <w:pPr>
        <w:pStyle w:val="Normal"/>
        <w:widowControl w:val="false"/>
        <w:jc w:val="center"/>
        <w:rPr>
          <w:rFonts w:ascii="PT Astra Serif" w:hAnsi="PT Astra Serif"/>
          <w:b/>
          <w:sz w:val="24"/>
          <w:szCs w:val="24"/>
        </w:rPr>
      </w:pPr>
      <w:r>
        <w:rPr>
          <w:rFonts w:ascii="PT Astra Serif" w:hAnsi="PT Astra Serif"/>
          <w:b/>
          <w:sz w:val="24"/>
          <w:szCs w:val="24"/>
        </w:rPr>
        <w:t>Форма</w:t>
      </w:r>
    </w:p>
    <w:p>
      <w:pPr>
        <w:pStyle w:val="Normal"/>
        <w:widowControl w:val="false"/>
        <w:jc w:val="center"/>
        <w:rPr>
          <w:rFonts w:ascii="PT Astra Serif" w:hAnsi="PT Astra Serif" w:cs="Courier New"/>
          <w:sz w:val="24"/>
          <w:szCs w:val="24"/>
        </w:rPr>
      </w:pPr>
      <w:r>
        <w:rPr>
          <w:rFonts w:ascii="PT Astra Serif" w:hAnsi="PT Astra Serif"/>
          <w:b/>
          <w:sz w:val="24"/>
          <w:szCs w:val="24"/>
        </w:rPr>
        <w:t>СУБЛИЦЕНЗИОННЫЙ ДОГОВОР</w:t>
        <w:br/>
        <w:t>НА ПРЕДОСТАВЛЕНИЕ ПРАВ ИСПОЛЬЗОВАНИЯ ПРОГРАММЫ ДЛЯ ЭВМ</w:t>
      </w:r>
    </w:p>
    <w:p>
      <w:pPr>
        <w:pStyle w:val="Normal"/>
        <w:widowControl w:val="false"/>
        <w:ind w:firstLine="720"/>
        <w:jc w:val="both"/>
        <w:rPr>
          <w:rFonts w:ascii="PT Astra Serif" w:hAnsi="PT Astra Serif"/>
          <w:sz w:val="24"/>
          <w:szCs w:val="24"/>
        </w:rPr>
      </w:pPr>
      <w:r>
        <w:rPr>
          <w:rFonts w:ascii="PT Astra Serif" w:hAnsi="PT Astra Serif"/>
          <w:sz w:val="24"/>
          <w:szCs w:val="24"/>
        </w:rPr>
      </w:r>
    </w:p>
    <w:tbl>
      <w:tblPr>
        <w:tblW w:w="9999"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5019"/>
        <w:gridCol w:w="4980"/>
      </w:tblGrid>
      <w:tr>
        <w:trPr/>
        <w:tc>
          <w:tcPr>
            <w:tcW w:w="5019" w:type="dxa"/>
            <w:tcBorders/>
          </w:tcPr>
          <w:p>
            <w:pPr>
              <w:pStyle w:val="Normal"/>
              <w:widowControl w:val="false"/>
              <w:rPr>
                <w:rFonts w:ascii="PT Astra Serif" w:hAnsi="PT Astra Serif"/>
                <w:sz w:val="24"/>
                <w:szCs w:val="24"/>
                <w:lang w:val="en-US"/>
              </w:rPr>
            </w:pPr>
            <w:r>
              <w:rPr>
                <w:rFonts w:ascii="PT Astra Serif" w:hAnsi="PT Astra Serif"/>
                <w:sz w:val="24"/>
                <w:szCs w:val="24"/>
              </w:rPr>
              <w:t xml:space="preserve">г. </w:t>
            </w:r>
            <w:r>
              <w:rPr>
                <w:rFonts w:ascii="PT Astra Serif" w:hAnsi="PT Astra Serif"/>
                <w:sz w:val="24"/>
                <w:szCs w:val="24"/>
                <w:lang w:val="en-US"/>
              </w:rPr>
              <w:t>______________</w:t>
            </w:r>
          </w:p>
        </w:tc>
        <w:tc>
          <w:tcPr>
            <w:tcW w:w="4980" w:type="dxa"/>
            <w:tcBorders/>
          </w:tcPr>
          <w:p>
            <w:pPr>
              <w:pStyle w:val="Normal"/>
              <w:widowControl w:val="false"/>
              <w:jc w:val="end"/>
              <w:rPr>
                <w:rFonts w:ascii="PT Astra Serif" w:hAnsi="PT Astra Serif"/>
                <w:sz w:val="24"/>
                <w:szCs w:val="24"/>
              </w:rPr>
            </w:pPr>
            <w:r>
              <w:rPr>
                <w:rFonts w:ascii="PT Astra Serif" w:hAnsi="PT Astra Serif"/>
                <w:sz w:val="24"/>
                <w:szCs w:val="24"/>
              </w:rPr>
              <w:t>«___»___________202__ г.</w:t>
            </w:r>
          </w:p>
        </w:tc>
      </w:tr>
    </w:tbl>
    <w:p>
      <w:pPr>
        <w:pStyle w:val="Normal"/>
        <w:widowControl w:val="false"/>
        <w:ind w:firstLine="720"/>
        <w:jc w:val="both"/>
        <w:rPr>
          <w:rFonts w:ascii="PT Astra Serif" w:hAnsi="PT Astra Serif"/>
          <w:sz w:val="24"/>
          <w:szCs w:val="24"/>
        </w:rPr>
      </w:pPr>
      <w:r>
        <w:rPr>
          <w:rFonts w:ascii="PT Astra Serif" w:hAnsi="PT Astra Serif"/>
          <w:sz w:val="24"/>
          <w:szCs w:val="24"/>
        </w:rPr>
      </w:r>
    </w:p>
    <w:p>
      <w:pPr>
        <w:pStyle w:val="Normal"/>
        <w:widowControl w:val="false"/>
        <w:ind w:firstLine="720"/>
        <w:jc w:val="both"/>
        <w:rPr>
          <w:rFonts w:ascii="PT Astra Serif" w:hAnsi="PT Astra Serif"/>
          <w:sz w:val="24"/>
          <w:szCs w:val="24"/>
        </w:rPr>
      </w:pPr>
      <w:r>
        <w:rPr>
          <w:rFonts w:ascii="PT Astra Serif" w:hAnsi="PT Astra Serif"/>
          <w:b/>
          <w:sz w:val="24"/>
          <w:szCs w:val="24"/>
        </w:rPr>
        <w:t>_____________________»</w:t>
      </w:r>
      <w:r>
        <w:rPr>
          <w:rFonts w:ascii="PT Astra Serif" w:hAnsi="PT Astra Serif"/>
          <w:sz w:val="24"/>
          <w:szCs w:val="24"/>
        </w:rPr>
        <w:t xml:space="preserve"> в лице ______________, действующего на основании Устава, именуемое в дальнейшем </w:t>
      </w:r>
      <w:r>
        <w:rPr>
          <w:rFonts w:ascii="PT Astra Serif" w:hAnsi="PT Astra Serif"/>
          <w:b/>
          <w:sz w:val="24"/>
          <w:szCs w:val="24"/>
        </w:rPr>
        <w:t>«Лицензиат</w:t>
      </w:r>
      <w:r>
        <w:rPr>
          <w:rFonts w:ascii="PT Astra Serif" w:hAnsi="PT Astra Serif"/>
          <w:sz w:val="24"/>
          <w:szCs w:val="24"/>
        </w:rPr>
        <w:t>», с одной стороны и</w:t>
      </w:r>
    </w:p>
    <w:p>
      <w:pPr>
        <w:pStyle w:val="Normal"/>
        <w:widowControl w:val="false"/>
        <w:ind w:firstLine="720"/>
        <w:jc w:val="both"/>
        <w:rPr>
          <w:rFonts w:ascii="PT Astra Serif" w:hAnsi="PT Astra Serif"/>
          <w:sz w:val="24"/>
          <w:szCs w:val="24"/>
        </w:rPr>
      </w:pPr>
      <w:r>
        <w:rPr>
          <w:rFonts w:ascii="PT Astra Serif" w:hAnsi="PT Astra Serif"/>
          <w:b/>
          <w:sz w:val="24"/>
          <w:szCs w:val="24"/>
        </w:rPr>
        <w:t>Администрация города Югорска</w:t>
      </w:r>
      <w:r>
        <w:rPr>
          <w:rFonts w:ascii="PT Astra Serif" w:hAnsi="PT Astra Serif"/>
          <w:sz w:val="24"/>
          <w:szCs w:val="24"/>
        </w:rPr>
        <w:t xml:space="preserve"> в лице _________________________________, действующего на основании_______________, именуемая в дальнейшем </w:t>
      </w:r>
      <w:r>
        <w:rPr>
          <w:rFonts w:ascii="PT Astra Serif" w:hAnsi="PT Astra Serif"/>
          <w:b/>
          <w:sz w:val="24"/>
          <w:szCs w:val="24"/>
        </w:rPr>
        <w:t>«Сублицензиат» («Конечный пользователь»)</w:t>
      </w:r>
      <w:r>
        <w:rPr>
          <w:rFonts w:ascii="PT Astra Serif" w:hAnsi="PT Astra Serif"/>
          <w:sz w:val="24"/>
          <w:szCs w:val="24"/>
        </w:rPr>
        <w:t xml:space="preserve"> с другой стороны, вместе именуемые «Стороны» заключили настоящий договор о нижеследующем:</w:t>
      </w:r>
    </w:p>
    <w:p>
      <w:pPr>
        <w:pStyle w:val="Normal"/>
        <w:widowControl w:val="false"/>
        <w:ind w:firstLine="720"/>
        <w:jc w:val="both"/>
        <w:rPr>
          <w:rFonts w:ascii="PT Astra Serif" w:hAnsi="PT Astra Serif"/>
          <w:sz w:val="24"/>
          <w:szCs w:val="24"/>
        </w:rPr>
      </w:pPr>
      <w:r>
        <w:rPr>
          <w:rFonts w:ascii="PT Astra Serif" w:hAnsi="PT Astra Serif"/>
          <w:sz w:val="24"/>
          <w:szCs w:val="24"/>
        </w:rPr>
      </w:r>
    </w:p>
    <w:p>
      <w:pPr>
        <w:pStyle w:val="Normal"/>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1. ПРЕДМЕТ ДОГОВОРА</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Лицензиат с согласия Правообладателя (Лицензиара) за вознаграждение в соответствии с муниципальным контрактом №___ от_____ предоставляет Сублицензиату (Конечному пользователю) неисключительные права на использование программного обеспечения _______________ (далее – Программа для ЭВМ, ПО) на условиях простой (неисключительной) лицензии в количестве ______ штук.</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Предоставление Сублицензиату (Конечному пользователю) неисключительных прав на использование Программы для ЭВМ подтверждается актом приёма-передачи неисключительных прав на Программу для ЭВМ (далее - Акт), являющимся неотъемлемой частью настоящего Договора (Приложение № 1).</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Подписание Договора не означает передачу Сублицензиату права собственности на Программу для ЭВМ.</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Лицензиат гарантирует, что обладает необходимым объёмом прав и полномочий, предоставленных ему Правообладателем (Лицензиаром) на основании Лицензионного договора № _____________.</w:t>
      </w:r>
    </w:p>
    <w:p>
      <w:pPr>
        <w:pStyle w:val="Normal"/>
        <w:numPr>
          <w:ilvl w:val="0"/>
          <w:numId w:val="0"/>
        </w:numPr>
        <w:tabs>
          <w:tab w:val="clear" w:pos="708"/>
          <w:tab w:val="left" w:pos="1134" w:leader="none"/>
        </w:tabs>
        <w:ind w:hanging="0" w:start="0"/>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numPr>
          <w:ilvl w:val="0"/>
          <w:numId w:val="0"/>
        </w:numPr>
        <w:tabs>
          <w:tab w:val="clear" w:pos="708"/>
          <w:tab w:val="left" w:pos="426" w:leader="none"/>
        </w:tabs>
        <w:ind w:hanging="0" w:start="360"/>
        <w:jc w:val="center"/>
        <w:outlineLvl w:val="0"/>
        <w:rPr>
          <w:rFonts w:ascii="PT Astra Serif" w:hAnsi="PT Astra Serif"/>
          <w:b/>
          <w:sz w:val="24"/>
          <w:szCs w:val="24"/>
          <w:lang w:eastAsia="en-US"/>
        </w:rPr>
      </w:pPr>
      <w:r>
        <w:rPr>
          <w:rFonts w:ascii="PT Astra Serif" w:hAnsi="PT Astra Serif"/>
          <w:b/>
          <w:sz w:val="24"/>
          <w:szCs w:val="24"/>
          <w:lang w:eastAsia="en-US"/>
        </w:rPr>
        <w:t>2. ПРАВА И ОБЯЗАННОСТИ СТОРОН</w:t>
      </w:r>
    </w:p>
    <w:p>
      <w:pPr>
        <w:pStyle w:val="Normal"/>
        <w:numPr>
          <w:ilvl w:val="0"/>
          <w:numId w:val="0"/>
        </w:numPr>
        <w:tabs>
          <w:tab w:val="clear" w:pos="708"/>
          <w:tab w:val="left" w:pos="1134" w:leader="none"/>
        </w:tabs>
        <w:ind w:firstLine="709" w:start="0"/>
        <w:jc w:val="both"/>
        <w:outlineLvl w:val="0"/>
        <w:rPr>
          <w:rFonts w:ascii="PT Astra Serif" w:hAnsi="PT Astra Serif"/>
          <w:b/>
          <w:sz w:val="24"/>
          <w:szCs w:val="24"/>
        </w:rPr>
      </w:pPr>
      <w:r>
        <w:rPr>
          <w:rFonts w:ascii="PT Astra Serif" w:hAnsi="PT Astra Serif"/>
          <w:b/>
          <w:sz w:val="24"/>
          <w:szCs w:val="24"/>
        </w:rPr>
        <w:t>2.1. Лицензиат обязуется: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2.1.1. Передать Сублицензиату (Конечному пользователю) лицензии на право использования Программы для ЭВМ.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2.1.2. Воздерживаться от каких-либо действий, способных затруднить осуществление Сублицензиатом (Конечным пользователем) предоставленного ему права использования Программы для ЭВМ в установленных настоящим Договором пределах.</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rPr>
        <w:t>2.1.3. Своевременно сообщать Сублицензиату (Конечному пользователю) о появлении новых версий Программы для ЭВМ и о возможности их использования в рамках</w:t>
      </w:r>
      <w:r>
        <w:rPr>
          <w:rFonts w:ascii="PT Astra Serif" w:hAnsi="PT Astra Serif"/>
          <w:sz w:val="24"/>
          <w:szCs w:val="24"/>
          <w:lang w:eastAsia="en-US"/>
        </w:rPr>
        <w:t xml:space="preserve"> предоставленного неисключительного права по настоящему Договору.</w:t>
      </w:r>
    </w:p>
    <w:p>
      <w:pPr>
        <w:pStyle w:val="Normal"/>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2.2. Лицензиат имеет право: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2.2.1. Требовать выплаты вознаграждения за предоставленное право на использование Программы для ЭВМ в соответствии с муниципальным контрактом №___ от _____.</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2.2.2. В одностороннем порядке отказаться от исполнения настоящего Договора и потребовать возмещения убытков, причинённых расторжением настоящего Договора, в случае нарушения Сублицензиатом (Конечным пользователем) обязанности по уплате сублицензионного вознаграждения в установленный муниципальным контрактом срок.</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2.2.3. В случае нарушения Сублицензиатом условий (способов) использования ПО, права на ПО по Договору, лишить Сублицензиата права на использование ПО. Нарушение норм об охране авторских прав может также повлечь гражданско-правовую и уголовную ответственность в соответствии с законодательством Российской Федерации.</w:t>
      </w:r>
    </w:p>
    <w:p>
      <w:pPr>
        <w:pStyle w:val="Normal"/>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2.3. Сублицензиат (Конечный пользователь) обязуется: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2.3.1. Не распространять ПО, права на ПО. Под распространением права на ПО понимается предоставление третьим лицам, прямого или косвенного доступа к воспроизведённым в любой форме ПО, в том числе сетевыми и иными способами, а также путём продажи, проката, сдачи внаём, предоставления взаймы или иными способами отчуждения;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2.3.2. Не декомпилировать (преобразовывать объектный код в исходный текст) и не модифицировать программы и другие компоненты ПО;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2.3.3. Не вносить какие-либо изменения в объектный код ПО за исключением тех, которые вносятся средствами, включёнными в комплект ПО и описанными в документации;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2.3.4. Не совершать относительно ПО другие действия, нарушающие российские и международные нормы законодательства.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2.3.5. Уплатить Лицензиату обусловленное муниципальным контрактом №___ от ____ вознаграждение за предоставленное право на использование Программы для ЭВМ.</w:t>
      </w:r>
    </w:p>
    <w:p>
      <w:pPr>
        <w:pStyle w:val="Normal"/>
        <w:keepNext w:val="true"/>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2.4. Сублицензиат (Конечный пользователь) вправе:</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2.4.1. Использовать ПО в пределах тех прав и тех способов использования, которые предусмотрены Договором для Сублицензиата.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2.5. Стороны отвечают за действия своих работников, а также иных лиц, получивших или имеющих доступ к праву на ПО, если эти действия повлекли неисполнение или ненадлежащее исполнение Сторонами обязательств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3. ВОЗНАГРАЖДЕНИЕ И ПОРЯДОК РАСЧЕТОВ</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Размер вознаграждения, подлежащего уплате Лицензиату за предоставление Сублицензиату (Конечному пользователю) неисключительного (пользовательского) права на использование Программы для ЭВМ, определяется условиями муниципального контракта №___ от _____. </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4. ОТВЕТСТВЕННОСТЬ СТОРОН</w:t>
      </w:r>
      <w:bookmarkStart w:id="6" w:name="_Hlk14871475"/>
      <w:bookmarkEnd w:id="6"/>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4.2. За использование Программы для ЭВМ способом, не предусмотренным настоящим Договором, либо по прекращении действия настоящего договора, либо иным образом за пределами прав, предоставленных Договором, Сублицензиат (Конечный пользователь) несёт ответственность за нарушение исключительного права, предусмотренную Гражданским кодексом Российской Федерации и другими нормативно-правовыми актами.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4.3. Лицензиат несёт ответственность перед Правообладателем (Лицензиаром) за действия Сублицензиата (Конечного пользователя)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4.4. Условия настоящего Договора, дополнительных соглашений (протоколов, приложений и т.п.) к нему конфиденциальны и не подлежат разглашению.</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4.5. Стороны обязаны обеспечить конфиденциальность сведений, касающихся предмета Договора, хода его исполнения и полученных результатов. </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 В соответствии со ст. 431.2 Гражданского кодекса РФ каждая из Сторон («Заверяющая Сторона») заверяет другую Сторону, что: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 Заверяющая Сторона является юридическим лицом, надлежащим образом созданным и действующим в соответствии с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4.6.2. Представитель, подписывающий от имени Заверяющей Стороны настоящий Договор или дополнительные соглашения (приложения) к нему от его имени, обладает всеми необходимыми на то полномочиями;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4.6.3. Заключение настоящего Договора не нарушает каких-либо обязательств Заверяющей Стороны перед третьими лицами;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4.6.4. Заверяющей Стороной получены все необходимые корпоративные одобрения органов управления, требующиеся для заключения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4.6.5. Заверяющая Сторона является добросовестным налогоплательщиком и не имеет просроченной и не оспоренной задолженности по налогам и сборам;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4.6.6. Принятие и исполнение обязательств по настоящему Договору не влечёт за собой нарушения какого-либо из положений учредительных документов, корпоративного договора или внутренних актов Заверяющей Стороны;</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4.6.7. Заверяющая Сторона обладает всеми необходимыми разрешениями, лицензиями и сертификатами, необходимыми для ведения деятельности, предусмотренной настоящим Договором;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4.6.8. Заверяющая Сторона является платёжеспособной и состоятельной, в том числе, но не ограничиваясь перечисленным, способна надлежащим образом исполнять свои обязательства по настоящему Договору, в отношении Заверяющей Стороны не имеется возбуждённого дела о банкротстве, включая процедуры наблюдения, финансового оздоровления, внешнего управления, конкурсного производств; отсутствуют сведения о факте подачи кредитором Заверяющей Стороны или намерении кредитора Заверяющей Стороны или самой Заверяющей Стороны подать заявление о признании себя банкротом.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4.6.9. Каждая Сторона обязана немедленно уведомить другую Сторону в случае изменения обстоятельств, в отношении которых Стороной выданы заверения, указанные в настоящем разделе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4.6.10. Каждая Сторона при заключении настоящего Договора полагается на заверения об обстоятельствах другой Стороны, указанные в настоящем разделе Договора, которые рассматриваются как имеющие существенное значение для заключения Договора, его исполнения или прекращения, недостоверность или нарушение таких заверений признается существенным нарушением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4.6.11. Стороны договорились, что прикладывают совместные усилия для правильного отражения операций по Договору в бухгалтерском и налоговом учёте своих организаций. При этом в случае выявления ошибок при заполнении в первичных документах соответствующая Сторона обязана в течение 3 (трёх) рабочих дней устранить выявленные дефекты в указанных документах. </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4.6.12. В случае выявления фактов нарушения налогового законодательства, связанных с отражением операций по настоящему Договору, при проведении налоговых проверок Стороны прикладывают совместные усилия для разрешения споров с налоговыми органами в досудебном порядке.</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4.6.13. Стороны установили, что пострадавшая сторона имеет право предъявить требования к виновной стороне в части взыскания Имущественных потерь.</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4.7. При исполнении настоящего Договора Стороны соблюдают, и будут соблюдать в дальнейшем все применимые законы и нормативные акты, включая любые законы о противодействии взяточничества и коррупции.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4.8. Стороны и любые их должностные лица, работники, или любые лица, действующие от имени или в интересах или по просьбе какой 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настоящего Договора, если указанные действия нарушают применимые законы или нормативные акты о противодействии взяточничества и коррупции.</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5. ПОРЯДОК РАЗРЕШЕНИЯ СПОРОВ</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5.1. Споры и разногласия, которые могут возникнуть при исполнении настоящего договора, будут по возможности разрешаться путём переговоров между Сторонами.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5.2. С целью скорейшего разрешения споров стороны имеют право обратиться к Правообладателю (Лицензиару) за консультациями по порядку исполнения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5.3. В случае, если Стороны не разрешат возникшие споры путём переговоров, они разрешаются в судебном порядке в соответствии с действующим законодательством Российской Федерации.</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6. ЗАКЛЮЧИТЕЛЬНЫЕ ПОЛОЖЕНИЯ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6.1. Настоящий Договор составлен в 2 (Двух) экземплярах, имеющих одинаковую юридическую силу, по одному для каждой из Сторон.</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6.2. Настоящий Договор вступает в силу с даты его подписания и действует до полного исполнения Сторонами своих обязательств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6.3. Переход исключительного права на Программу для ЭВМ к новому правообладателю не является основанием для изменения или расторжения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6.4.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6.5.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 С целью ускорения проведения переговоров в ходе исполнения настоящего Договора, доставки писем и иной не конфиденциальной информации Стороны имеют право направлять ее друг другу по электронной почте с обязательным последующим направлением (дублированием) в письменном виде в порядке, предусмотренном п. 6.5.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6.6.1. Ответственное лицо от Лицензиата: ____________________.</w:t>
      </w:r>
    </w:p>
    <w:p>
      <w:pPr>
        <w:pStyle w:val="Normal"/>
        <w:numPr>
          <w:ilvl w:val="0"/>
          <w:numId w:val="0"/>
        </w:numPr>
        <w:ind w:firstLine="709" w:start="0"/>
        <w:jc w:val="both"/>
        <w:outlineLvl w:val="0"/>
        <w:rPr>
          <w:rFonts w:ascii="PT Astra Serif" w:hAnsi="PT Astra Serif"/>
          <w:sz w:val="24"/>
          <w:szCs w:val="24"/>
        </w:rPr>
      </w:pPr>
      <w:r>
        <w:rPr>
          <w:rFonts w:ascii="PT Astra Serif" w:hAnsi="PT Astra Serif"/>
          <w:sz w:val="24"/>
          <w:szCs w:val="24"/>
        </w:rPr>
        <w:t xml:space="preserve">6.6.2. Ответственное лицо от Сублицензиата (Конечного пользователя): </w:t>
      </w:r>
      <w:r>
        <w:rPr>
          <w:rFonts w:ascii="PT Astra Serif" w:hAnsi="PT Astra Serif"/>
          <w:sz w:val="24"/>
          <w:szCs w:val="24"/>
          <w:lang w:eastAsia="en-US"/>
        </w:rPr>
        <w:t>_____________</w:t>
      </w:r>
      <w:r>
        <w:rPr>
          <w:rFonts w:ascii="PT Astra Serif" w:hAnsi="PT Astra Serif"/>
          <w:sz w:val="24"/>
          <w:szCs w:val="24"/>
        </w:rPr>
        <w:t>.</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6.6.3. Во всем остальном, что не предусмотрено настоящим Договором, Стороны руководствуются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6.7. Приложения, являющиеся неотъемлемой частью настоящего Договора: Приложение № 1 – Акт приёма-передачи неисключительных прав на Программу для ЭВМ.</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numPr>
          <w:ilvl w:val="0"/>
          <w:numId w:val="0"/>
        </w:numPr>
        <w:tabs>
          <w:tab w:val="clear" w:pos="708"/>
          <w:tab w:val="left" w:pos="1134" w:leader="none"/>
        </w:tabs>
        <w:ind w:hanging="0" w:start="709"/>
        <w:jc w:val="center"/>
        <w:outlineLvl w:val="0"/>
        <w:rPr>
          <w:rFonts w:ascii="PT Astra Serif" w:hAnsi="PT Astra Serif"/>
          <w:b/>
          <w:sz w:val="24"/>
          <w:szCs w:val="24"/>
          <w:lang w:eastAsia="en-US"/>
        </w:rPr>
      </w:pPr>
      <w:r>
        <w:rPr>
          <w:rFonts w:ascii="PT Astra Serif" w:hAnsi="PT Astra Serif"/>
          <w:b/>
          <w:sz w:val="24"/>
          <w:szCs w:val="24"/>
          <w:lang w:eastAsia="en-US"/>
        </w:rPr>
        <w:t>7. РЕКВИЗИТЫ И ПОДПИСИ СТОРОН</w:t>
      </w:r>
    </w:p>
    <w:tbl>
      <w:tblPr>
        <w:tblW w:w="10098"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4678"/>
        <w:gridCol w:w="5420"/>
      </w:tblGrid>
      <w:tr>
        <w:trPr/>
        <w:tc>
          <w:tcPr>
            <w:tcW w:w="4678" w:type="dxa"/>
            <w:tcBorders/>
          </w:tcPr>
          <w:p>
            <w:pPr>
              <w:pStyle w:val="Normal"/>
              <w:keepNext w:val="true"/>
              <w:shd w:val="clear" w:color="auto" w:fill="FFFFFF"/>
              <w:rPr>
                <w:rFonts w:ascii="PT Astra Serif" w:hAnsi="PT Astra Serif"/>
                <w:b/>
                <w:sz w:val="24"/>
              </w:rPr>
            </w:pPr>
            <w:r>
              <w:rPr>
                <w:rFonts w:ascii="PT Astra Serif" w:hAnsi="PT Astra Serif"/>
                <w:b/>
                <w:sz w:val="24"/>
              </w:rPr>
              <w:t>ЛИЦЕНЗИАТ:</w:t>
            </w:r>
          </w:p>
          <w:p>
            <w:pPr>
              <w:pStyle w:val="Normal"/>
              <w:keepNext w:val="true"/>
              <w:shd w:val="clear" w:color="auto" w:fill="FFFFFF"/>
              <w:rPr>
                <w:rFonts w:ascii="PT Astra Serif" w:hAnsi="PT Astra Serif"/>
                <w:b/>
                <w:sz w:val="24"/>
              </w:rPr>
            </w:pPr>
            <w:r>
              <w:rPr>
                <w:rFonts w:ascii="PT Astra Serif" w:hAnsi="PT Astra Serif"/>
                <w:b/>
                <w:sz w:val="24"/>
              </w:rPr>
            </w:r>
          </w:p>
          <w:p>
            <w:pPr>
              <w:pStyle w:val="Normal"/>
              <w:keepNext w:val="true"/>
              <w:rPr>
                <w:rFonts w:ascii="PT Astra Serif" w:hAnsi="PT Astra Serif"/>
                <w:sz w:val="24"/>
              </w:rPr>
            </w:pPr>
            <w:r>
              <w:rPr>
                <w:rFonts w:ascii="PT Astra Serif" w:hAnsi="PT Astra Serif"/>
                <w:sz w:val="24"/>
              </w:rPr>
            </w:r>
          </w:p>
        </w:tc>
        <w:tc>
          <w:tcPr>
            <w:tcW w:w="5420" w:type="dxa"/>
            <w:tcBorders/>
          </w:tcPr>
          <w:p>
            <w:pPr>
              <w:pStyle w:val="Normal"/>
              <w:keepNext w:val="true"/>
              <w:shd w:val="clear" w:color="auto" w:fill="FFFFFF"/>
              <w:rPr>
                <w:rFonts w:ascii="PT Astra Serif" w:hAnsi="PT Astra Serif"/>
                <w:b/>
                <w:sz w:val="24"/>
              </w:rPr>
            </w:pPr>
            <w:r>
              <w:rPr>
                <w:rFonts w:ascii="PT Astra Serif" w:hAnsi="PT Astra Serif"/>
                <w:b/>
                <w:sz w:val="24"/>
              </w:rPr>
              <w:t>СУБЛИЦЕНЗИАТ</w:t>
            </w:r>
          </w:p>
          <w:p>
            <w:pPr>
              <w:pStyle w:val="Normal"/>
              <w:keepNext w:val="true"/>
              <w:shd w:val="clear" w:color="auto" w:fill="FFFFFF"/>
              <w:rPr>
                <w:rFonts w:ascii="PT Astra Serif" w:hAnsi="PT Astra Serif"/>
                <w:b/>
                <w:sz w:val="24"/>
              </w:rPr>
            </w:pPr>
            <w:r>
              <w:rPr>
                <w:rFonts w:ascii="PT Astra Serif" w:hAnsi="PT Astra Serif"/>
                <w:b/>
                <w:sz w:val="24"/>
              </w:rPr>
              <w:t>(КОНЕЧНЫЙ ПОЛЬЗОВАТЕЛЬ):</w:t>
            </w:r>
          </w:p>
          <w:p>
            <w:pPr>
              <w:pStyle w:val="Normal"/>
              <w:tabs>
                <w:tab w:val="clear" w:pos="708"/>
                <w:tab w:val="left" w:pos="709" w:leader="none"/>
              </w:tabs>
              <w:jc w:val="both"/>
              <w:rPr>
                <w:rFonts w:ascii="PT Astra Serif" w:hAnsi="PT Astra Serif"/>
                <w:bCs/>
                <w:spacing w:val="-1"/>
                <w:sz w:val="24"/>
                <w:szCs w:val="28"/>
              </w:rPr>
            </w:pPr>
            <w:r>
              <w:rPr>
                <w:rFonts w:ascii="PT Astra Serif" w:hAnsi="PT Astra Serif"/>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401 028 102 453 700 000 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w:t>
            </w:r>
          </w:p>
          <w:p>
            <w:pPr>
              <w:pStyle w:val="Normal"/>
              <w:tabs>
                <w:tab w:val="clear" w:pos="708"/>
                <w:tab w:val="left" w:pos="709" w:leader="none"/>
              </w:tabs>
              <w:jc w:val="both"/>
              <w:rPr>
                <w:rFonts w:ascii="PT Astra Serif" w:hAnsi="PT Astra Serif"/>
                <w:b/>
                <w:sz w:val="24"/>
              </w:rPr>
            </w:pPr>
            <w:r>
              <w:rPr>
                <w:rFonts w:ascii="PT Astra Serif" w:hAnsi="PT Astra Serif"/>
                <w:bCs/>
                <w:spacing w:val="-1"/>
                <w:sz w:val="22"/>
                <w:szCs w:val="22"/>
              </w:rPr>
              <w:t xml:space="preserve">Электронная почта: </w:t>
            </w:r>
            <w:hyperlink r:id="rId8">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tc>
      </w:tr>
      <w:tr>
        <w:trPr/>
        <w:tc>
          <w:tcPr>
            <w:tcW w:w="4678" w:type="dxa"/>
            <w:tcBorders/>
          </w:tcPr>
          <w:p>
            <w:pPr>
              <w:pStyle w:val="Normal"/>
              <w:keepNext w:val="true"/>
              <w:ind w:start="34"/>
              <w:jc w:val="both"/>
              <w:rPr>
                <w:rFonts w:ascii="PT Astra Serif" w:hAnsi="PT Astra Serif"/>
                <w:sz w:val="24"/>
              </w:rPr>
            </w:pPr>
            <w:r>
              <w:rPr>
                <w:rFonts w:ascii="PT Astra Serif" w:hAnsi="PT Astra Serif"/>
                <w:sz w:val="24"/>
              </w:rPr>
            </w:r>
          </w:p>
          <w:p>
            <w:pPr>
              <w:pStyle w:val="Normal"/>
              <w:keepNext w:val="true"/>
              <w:ind w:start="34"/>
              <w:jc w:val="both"/>
              <w:rPr>
                <w:rFonts w:ascii="PT Astra Serif" w:hAnsi="PT Astra Serif"/>
                <w:sz w:val="24"/>
              </w:rPr>
            </w:pPr>
            <w:r>
              <w:rPr>
                <w:rFonts w:ascii="PT Astra Serif" w:hAnsi="PT Astra Serif"/>
                <w:sz w:val="24"/>
              </w:rPr>
              <w:t>_____________________/__________</w:t>
            </w:r>
          </w:p>
          <w:p>
            <w:pPr>
              <w:pStyle w:val="Normal"/>
              <w:keepNext w:val="true"/>
              <w:ind w:start="34"/>
              <w:jc w:val="both"/>
              <w:rPr>
                <w:rFonts w:ascii="PT Astra Serif" w:hAnsi="PT Astra Serif"/>
                <w:sz w:val="24"/>
              </w:rPr>
            </w:pPr>
            <w:r>
              <w:rPr>
                <w:rFonts w:ascii="PT Astra Serif" w:hAnsi="PT Astra Serif"/>
                <w:sz w:val="24"/>
              </w:rPr>
              <w:t>«      »  ______________ 202__ г.</w:t>
            </w:r>
          </w:p>
          <w:p>
            <w:pPr>
              <w:pStyle w:val="Normal"/>
              <w:keepNext w:val="true"/>
              <w:rPr>
                <w:rFonts w:ascii="PT Astra Serif" w:hAnsi="PT Astra Serif"/>
                <w:sz w:val="24"/>
              </w:rPr>
            </w:pPr>
            <w:r>
              <w:rPr>
                <w:rFonts w:ascii="PT Astra Serif" w:hAnsi="PT Astra Serif"/>
                <w:sz w:val="24"/>
              </w:rPr>
              <w:t>М. П.</w:t>
            </w:r>
          </w:p>
        </w:tc>
        <w:tc>
          <w:tcPr>
            <w:tcW w:w="5420" w:type="dxa"/>
            <w:tcBorders/>
          </w:tcPr>
          <w:p>
            <w:pPr>
              <w:pStyle w:val="Normal"/>
              <w:keepNext w:val="true"/>
              <w:ind w:start="34"/>
              <w:jc w:val="both"/>
              <w:rPr>
                <w:rFonts w:ascii="PT Astra Serif" w:hAnsi="PT Astra Serif"/>
                <w:sz w:val="24"/>
              </w:rPr>
            </w:pPr>
            <w:r>
              <w:rPr>
                <w:rFonts w:ascii="PT Astra Serif" w:hAnsi="PT Astra Serif"/>
                <w:sz w:val="24"/>
              </w:rPr>
            </w:r>
          </w:p>
          <w:p>
            <w:pPr>
              <w:pStyle w:val="Normal"/>
              <w:keepNext w:val="true"/>
              <w:ind w:start="34"/>
              <w:jc w:val="both"/>
              <w:rPr>
                <w:rFonts w:ascii="PT Astra Serif" w:hAnsi="PT Astra Serif"/>
                <w:sz w:val="24"/>
                <w:lang w:val="en-US"/>
              </w:rPr>
            </w:pPr>
            <w:r>
              <w:rPr>
                <w:rFonts w:ascii="PT Astra Serif" w:hAnsi="PT Astra Serif"/>
                <w:sz w:val="24"/>
              </w:rPr>
              <w:t>______________________/</w:t>
            </w:r>
            <w:r>
              <w:rPr>
                <w:rFonts w:ascii="PT Astra Serif" w:hAnsi="PT Astra Serif"/>
                <w:sz w:val="24"/>
                <w:lang w:val="en-US"/>
              </w:rPr>
              <w:t>______________</w:t>
            </w:r>
          </w:p>
          <w:p>
            <w:pPr>
              <w:pStyle w:val="Normal"/>
              <w:keepNext w:val="true"/>
              <w:ind w:start="34"/>
              <w:jc w:val="both"/>
              <w:rPr>
                <w:rFonts w:ascii="PT Astra Serif" w:hAnsi="PT Astra Serif"/>
                <w:sz w:val="24"/>
              </w:rPr>
            </w:pPr>
            <w:r>
              <w:rPr>
                <w:rFonts w:ascii="PT Astra Serif" w:hAnsi="PT Astra Serif"/>
                <w:sz w:val="24"/>
              </w:rPr>
              <w:t>«      »  ______________ 202__ г.</w:t>
            </w:r>
          </w:p>
          <w:p>
            <w:pPr>
              <w:pStyle w:val="Normal"/>
              <w:keepNext w:val="true"/>
              <w:rPr>
                <w:rFonts w:ascii="PT Astra Serif" w:hAnsi="PT Astra Serif"/>
                <w:sz w:val="24"/>
              </w:rPr>
            </w:pPr>
            <w:r>
              <w:rPr>
                <w:rFonts w:ascii="PT Astra Serif" w:hAnsi="PT Astra Serif"/>
                <w:sz w:val="24"/>
              </w:rPr>
              <w:t>М. П.</w:t>
            </w:r>
          </w:p>
        </w:tc>
      </w:tr>
    </w:tbl>
    <w:p>
      <w:pPr>
        <w:pStyle w:val="Normal"/>
        <w:rPr>
          <w:rFonts w:ascii="PT Astra Serif" w:hAnsi="PT Astra Serif"/>
          <w:color w:val="00000A"/>
          <w:sz w:val="24"/>
        </w:rPr>
      </w:pPr>
      <w:r>
        <w:rPr>
          <w:rFonts w:ascii="PT Astra Serif" w:hAnsi="PT Astra Serif"/>
          <w:color w:val="00000A"/>
          <w:sz w:val="24"/>
        </w:rPr>
      </w:r>
      <w:r>
        <w:br w:type="page"/>
      </w:r>
    </w:p>
    <w:p>
      <w:pPr>
        <w:pStyle w:val="Normal"/>
        <w:spacing w:before="0" w:after="0"/>
        <w:ind w:firstLine="709"/>
        <w:jc w:val="end"/>
        <w:rPr>
          <w:rFonts w:ascii="PT Astra Serif" w:hAnsi="PT Astra Serif"/>
          <w:sz w:val="24"/>
          <w:szCs w:val="24"/>
        </w:rPr>
      </w:pPr>
      <w:r>
        <w:rPr>
          <w:rFonts w:ascii="PT Astra Serif" w:hAnsi="PT Astra Serif"/>
          <w:sz w:val="24"/>
          <w:szCs w:val="24"/>
        </w:rPr>
        <w:t xml:space="preserve">Приложение № 1 </w:t>
      </w:r>
    </w:p>
    <w:p>
      <w:pPr>
        <w:pStyle w:val="Normal"/>
        <w:ind w:firstLine="709"/>
        <w:jc w:val="end"/>
        <w:rPr>
          <w:rFonts w:ascii="PT Astra Serif" w:hAnsi="PT Astra Serif"/>
          <w:sz w:val="24"/>
          <w:szCs w:val="24"/>
        </w:rPr>
      </w:pPr>
      <w:r>
        <w:rPr>
          <w:rFonts w:ascii="PT Astra Serif" w:hAnsi="PT Astra Serif"/>
          <w:sz w:val="24"/>
          <w:szCs w:val="24"/>
        </w:rPr>
        <w:t>к сублицензионному договору</w:t>
      </w:r>
    </w:p>
    <w:p>
      <w:pPr>
        <w:pStyle w:val="Normal"/>
        <w:ind w:firstLine="709"/>
        <w:jc w:val="end"/>
        <w:rPr>
          <w:rFonts w:ascii="PT Astra Serif" w:hAnsi="PT Astra Serif"/>
          <w:sz w:val="24"/>
          <w:szCs w:val="24"/>
        </w:rPr>
      </w:pPr>
      <w:r>
        <w:rPr>
          <w:rFonts w:ascii="PT Astra Serif" w:hAnsi="PT Astra Serif"/>
          <w:sz w:val="24"/>
          <w:szCs w:val="24"/>
        </w:rPr>
        <w:t>на предоставление прав использования</w:t>
      </w:r>
    </w:p>
    <w:p>
      <w:pPr>
        <w:pStyle w:val="Normal"/>
        <w:ind w:firstLine="709"/>
        <w:jc w:val="end"/>
        <w:rPr>
          <w:rFonts w:ascii="PT Astra Serif" w:hAnsi="PT Astra Serif"/>
          <w:sz w:val="24"/>
          <w:szCs w:val="24"/>
        </w:rPr>
      </w:pPr>
      <w:r>
        <w:rPr>
          <w:rFonts w:ascii="PT Astra Serif" w:hAnsi="PT Astra Serif"/>
          <w:sz w:val="24"/>
          <w:szCs w:val="24"/>
        </w:rPr>
        <w:t>программы для ЭВМ № ______ от __________</w:t>
      </w:r>
    </w:p>
    <w:p>
      <w:pPr>
        <w:pStyle w:val="Normal"/>
        <w:ind w:firstLine="709"/>
        <w:jc w:val="center"/>
        <w:rPr>
          <w:rFonts w:ascii="PT Astra Serif" w:hAnsi="PT Astra Serif"/>
          <w:b/>
          <w:sz w:val="24"/>
          <w:szCs w:val="24"/>
        </w:rPr>
      </w:pPr>
      <w:r>
        <w:rPr>
          <w:rFonts w:ascii="PT Astra Serif" w:hAnsi="PT Astra Serif"/>
          <w:b/>
          <w:sz w:val="24"/>
          <w:szCs w:val="24"/>
        </w:rPr>
      </w:r>
    </w:p>
    <w:p>
      <w:pPr>
        <w:pStyle w:val="Normal"/>
        <w:ind w:firstLine="709"/>
        <w:jc w:val="center"/>
        <w:rPr>
          <w:rFonts w:ascii="PT Astra Serif" w:hAnsi="PT Astra Serif"/>
          <w:b/>
          <w:sz w:val="24"/>
          <w:szCs w:val="24"/>
        </w:rPr>
      </w:pPr>
      <w:r>
        <w:rPr>
          <w:rFonts w:ascii="PT Astra Serif" w:hAnsi="PT Astra Serif"/>
          <w:b/>
          <w:sz w:val="24"/>
          <w:szCs w:val="24"/>
        </w:rPr>
        <w:t>АКТ № ______</w:t>
      </w:r>
    </w:p>
    <w:p>
      <w:pPr>
        <w:pStyle w:val="Normal"/>
        <w:ind w:firstLine="709"/>
        <w:jc w:val="center"/>
        <w:rPr>
          <w:rFonts w:ascii="PT Astra Serif" w:hAnsi="PT Astra Serif"/>
          <w:b/>
          <w:sz w:val="24"/>
          <w:szCs w:val="24"/>
        </w:rPr>
      </w:pPr>
      <w:r>
        <w:rPr>
          <w:rFonts w:ascii="PT Astra Serif" w:hAnsi="PT Astra Serif"/>
          <w:b/>
          <w:sz w:val="24"/>
          <w:szCs w:val="24"/>
        </w:rPr>
        <w:t>приёма-передачи неисключительных прав на Программу для ЭВМ</w:t>
      </w:r>
    </w:p>
    <w:p>
      <w:pPr>
        <w:pStyle w:val="Normal"/>
        <w:ind w:firstLine="709"/>
        <w:jc w:val="center"/>
        <w:rPr>
          <w:rFonts w:ascii="PT Astra Serif" w:hAnsi="PT Astra Serif"/>
          <w:b/>
          <w:sz w:val="24"/>
          <w:szCs w:val="24"/>
        </w:rPr>
      </w:pPr>
      <w:r>
        <w:rPr>
          <w:rFonts w:ascii="PT Astra Serif" w:hAnsi="PT Astra Serif"/>
          <w:b/>
          <w:sz w:val="24"/>
          <w:szCs w:val="24"/>
        </w:rPr>
      </w:r>
    </w:p>
    <w:tbl>
      <w:tblPr>
        <w:tblStyle w:val="-31"/>
        <w:tblW w:w="1020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938"/>
        <w:gridCol w:w="6268"/>
      </w:tblGrid>
      <w:tr>
        <w:trPr>
          <w:trHeight w:val="282" w:hRule="atLeast"/>
          <w:cnfStyle w:val="100000000000" w:firstRow="1" w:lastRow="0" w:firstColumn="0" w:lastColumn="0" w:oddVBand="0" w:evenVBand="0" w:oddHBand="0" w:evenHBand="0" w:firstRowFirstColumn="0" w:firstRowLastColumn="0" w:lastRowFirstColumn="0" w:lastRowLastColumn="0"/>
        </w:trPr>
        <w:tc>
          <w:tcPr>
            <w:tcW w:w="3938" w:type="dxa"/>
            <w:tcBorders/>
            <w:shd w:color="auto" w:fill="auto" w:val="clear"/>
          </w:tcPr>
          <w:p>
            <w:pPr>
              <w:pStyle w:val="Normal"/>
              <w:widowControl w:val="false"/>
              <w:spacing w:before="0" w:after="0"/>
              <w:jc w:val="start"/>
              <w:rPr>
                <w:rFonts w:ascii="PT Astra Serif" w:hAnsi="PT Astra Serif"/>
                <w:sz w:val="24"/>
                <w:szCs w:val="24"/>
                <w:highlight w:val="yellow"/>
                <w:lang w:val="en-US"/>
              </w:rPr>
            </w:pPr>
            <w:r>
              <w:rPr>
                <w:rFonts w:eastAsia="Times New Roman" w:cs="Times New Roman" w:ascii="PT Astra Serif" w:hAnsi="PT Astra Serif"/>
                <w:color w:val="auto"/>
                <w:kern w:val="0"/>
                <w:sz w:val="24"/>
                <w:szCs w:val="24"/>
                <w:lang w:val="ru-RU" w:eastAsia="ru-RU" w:bidi="ar-SA"/>
              </w:rPr>
              <w:t xml:space="preserve">г. </w:t>
            </w:r>
            <w:r>
              <w:rPr>
                <w:rFonts w:eastAsia="Times New Roman" w:cs="Times New Roman" w:ascii="PT Astra Serif" w:hAnsi="PT Astra Serif"/>
                <w:color w:val="auto"/>
                <w:kern w:val="0"/>
                <w:sz w:val="24"/>
                <w:szCs w:val="24"/>
                <w:lang w:val="en-US" w:eastAsia="ru-RU" w:bidi="ar-SA"/>
              </w:rPr>
              <w:t>_____________</w:t>
            </w:r>
          </w:p>
        </w:tc>
        <w:tc>
          <w:tcPr>
            <w:tcW w:w="6268" w:type="dxa"/>
            <w:tcBorders/>
            <w:shd w:color="auto" w:fill="auto" w:val="clear"/>
          </w:tcPr>
          <w:p>
            <w:pPr>
              <w:pStyle w:val="Normal"/>
              <w:widowControl w:val="false"/>
              <w:spacing w:before="0" w:after="0"/>
              <w:ind w:firstLine="709"/>
              <w:jc w:val="end"/>
              <w:rPr>
                <w:rFonts w:ascii="PT Astra Serif" w:hAnsi="PT Astra Serif"/>
                <w:sz w:val="24"/>
                <w:szCs w:val="24"/>
                <w:highlight w:val="yellow"/>
              </w:rPr>
            </w:pPr>
            <w:r>
              <w:rPr>
                <w:rFonts w:eastAsia="Times New Roman" w:cs="Times New Roman" w:ascii="PT Astra Serif" w:hAnsi="PT Astra Serif"/>
                <w:color w:val="auto"/>
                <w:kern w:val="0"/>
                <w:sz w:val="24"/>
                <w:szCs w:val="24"/>
                <w:lang w:val="ru-RU" w:eastAsia="ru-RU" w:bidi="ar-SA"/>
              </w:rPr>
              <w:t>____________</w:t>
            </w:r>
            <w:r>
              <w:rPr>
                <w:rFonts w:eastAsia="Times New Roman" w:cs="Times New Roman" w:ascii="PT Astra Serif" w:hAnsi="PT Astra Serif"/>
                <w:color w:val="auto"/>
                <w:kern w:val="0"/>
                <w:sz w:val="24"/>
                <w:szCs w:val="24"/>
                <w:lang w:val="en-US" w:eastAsia="ru-RU" w:bidi="ar-SA"/>
              </w:rPr>
              <w:t>202</w:t>
            </w:r>
            <w:r>
              <w:rPr>
                <w:rFonts w:eastAsia="Times New Roman" w:cs="Times New Roman" w:ascii="PT Astra Serif" w:hAnsi="PT Astra Serif"/>
                <w:color w:val="auto"/>
                <w:kern w:val="0"/>
                <w:sz w:val="24"/>
                <w:szCs w:val="24"/>
                <w:lang w:val="ru-RU" w:eastAsia="ru-RU" w:bidi="ar-SA"/>
              </w:rPr>
              <w:t>__</w:t>
            </w:r>
            <w:r>
              <w:rPr>
                <w:rFonts w:eastAsia="Times New Roman" w:cs="Times New Roman" w:ascii="PT Astra Serif" w:hAnsi="PT Astra Serif"/>
                <w:color w:val="auto"/>
                <w:kern w:val="0"/>
                <w:sz w:val="24"/>
                <w:szCs w:val="24"/>
                <w:lang w:val="en-US" w:eastAsia="ru-RU" w:bidi="ar-SA"/>
              </w:rPr>
              <w:t xml:space="preserve"> </w:t>
            </w:r>
            <w:r>
              <w:rPr>
                <w:rFonts w:eastAsia="Times New Roman" w:cs="Times New Roman" w:ascii="PT Astra Serif" w:hAnsi="PT Astra Serif"/>
                <w:color w:val="auto"/>
                <w:kern w:val="0"/>
                <w:sz w:val="24"/>
                <w:szCs w:val="24"/>
                <w:lang w:val="ru-RU" w:eastAsia="ru-RU" w:bidi="ar-SA"/>
              </w:rPr>
              <w:t>г.</w:t>
            </w:r>
          </w:p>
        </w:tc>
      </w:tr>
    </w:tbl>
    <w:p>
      <w:pPr>
        <w:pStyle w:val="Normal"/>
        <w:widowControl w:val="false"/>
        <w:ind w:firstLine="709"/>
        <w:jc w:val="both"/>
        <w:rPr>
          <w:rFonts w:ascii="PT Astra Serif" w:hAnsi="PT Astra Serif"/>
          <w:b/>
          <w:sz w:val="24"/>
          <w:szCs w:val="24"/>
        </w:rPr>
      </w:pPr>
      <w:r>
        <w:rPr>
          <w:rFonts w:ascii="PT Astra Serif" w:hAnsi="PT Astra Serif"/>
          <w:b/>
          <w:sz w:val="24"/>
          <w:szCs w:val="24"/>
        </w:rPr>
      </w:r>
    </w:p>
    <w:p>
      <w:pPr>
        <w:pStyle w:val="Normal"/>
        <w:widowControl w:val="false"/>
        <w:ind w:firstLine="709"/>
        <w:jc w:val="both"/>
        <w:rPr>
          <w:rFonts w:ascii="PT Astra Serif" w:hAnsi="PT Astra Serif"/>
          <w:sz w:val="24"/>
          <w:szCs w:val="24"/>
        </w:rPr>
      </w:pPr>
      <w:r>
        <w:rPr>
          <w:rFonts w:ascii="PT Astra Serif" w:hAnsi="PT Astra Serif"/>
          <w:sz w:val="24"/>
          <w:szCs w:val="24"/>
        </w:rPr>
        <w:t>_______________, в лице _____________-, действующего на основании Устава, именуемое в дальнейшем «Лицензиат» с одной стороны и</w:t>
      </w:r>
    </w:p>
    <w:p>
      <w:pPr>
        <w:pStyle w:val="Normal"/>
        <w:widowControl w:val="false"/>
        <w:ind w:firstLine="709"/>
        <w:jc w:val="both"/>
        <w:rPr>
          <w:rFonts w:ascii="PT Astra Serif" w:hAnsi="PT Astra Serif"/>
          <w:sz w:val="24"/>
          <w:szCs w:val="24"/>
        </w:rPr>
      </w:pPr>
      <w:r>
        <w:rPr>
          <w:rFonts w:ascii="PT Astra Serif" w:hAnsi="PT Astra Serif"/>
          <w:sz w:val="24"/>
          <w:szCs w:val="24"/>
        </w:rPr>
        <w:t>Администрация города Югорска, в лице _____________________________</w:t>
      </w:r>
      <w:r>
        <w:rPr>
          <w:rFonts w:ascii="PT Astra Serif" w:hAnsi="PT Astra Serif"/>
          <w:color w:val="0000FF"/>
          <w:sz w:val="24"/>
          <w:szCs w:val="24"/>
        </w:rPr>
        <w:t>,</w:t>
      </w:r>
      <w:r>
        <w:rPr>
          <w:rFonts w:ascii="PT Astra Serif" w:hAnsi="PT Astra Serif"/>
          <w:sz w:val="24"/>
          <w:szCs w:val="24"/>
        </w:rPr>
        <w:t xml:space="preserve"> действующего на основании__________________, именуемая в дальнейшем «Сублицензиат» («Конечный пользователь») с другой стороны, а вместе именуемые «Стороны» заключили настоящий Акт о нижеследующем:</w:t>
      </w:r>
    </w:p>
    <w:p>
      <w:pPr>
        <w:pStyle w:val="Normal"/>
        <w:widowControl w:val="false"/>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t xml:space="preserve">1. В соответствии с сублицензионным договором № ____ на предоставление прав использования Программы для ЭВМ от </w:t>
      </w:r>
      <w:r>
        <w:rPr>
          <w:rFonts w:ascii="PT Astra Serif" w:hAnsi="PT Astra Serif"/>
          <w:sz w:val="24"/>
          <w:szCs w:val="24"/>
        </w:rPr>
        <w:t>_____________</w:t>
      </w:r>
      <w:r>
        <w:rPr>
          <w:rFonts w:ascii="PT Astra Serif" w:hAnsi="PT Astra Serif"/>
          <w:sz w:val="24"/>
          <w:szCs w:val="24"/>
          <w:shd w:fill="FFFFFF" w:val="clear"/>
        </w:rPr>
        <w:t xml:space="preserve"> (далее – Договор) </w:t>
      </w:r>
      <w:r>
        <w:rPr>
          <w:rFonts w:ascii="PT Astra Serif" w:hAnsi="PT Astra Serif"/>
          <w:sz w:val="24"/>
          <w:szCs w:val="24"/>
        </w:rPr>
        <w:t xml:space="preserve">Лицензиат </w:t>
      </w:r>
      <w:r>
        <w:rPr>
          <w:rFonts w:ascii="PT Astra Serif" w:hAnsi="PT Astra Serif"/>
          <w:sz w:val="24"/>
          <w:szCs w:val="24"/>
          <w:shd w:fill="FFFFFF" w:val="clear"/>
        </w:rPr>
        <w:t xml:space="preserve">предоставил, а </w:t>
      </w:r>
      <w:r>
        <w:rPr>
          <w:rFonts w:ascii="PT Astra Serif" w:hAnsi="PT Astra Serif"/>
          <w:sz w:val="24"/>
          <w:szCs w:val="24"/>
        </w:rPr>
        <w:t xml:space="preserve">Сублицензиат </w:t>
      </w:r>
      <w:r>
        <w:rPr>
          <w:rFonts w:ascii="PT Astra Serif" w:hAnsi="PT Astra Serif"/>
          <w:sz w:val="24"/>
          <w:szCs w:val="24"/>
          <w:shd w:fill="FFFFFF" w:val="clear"/>
        </w:rPr>
        <w:t>принял</w:t>
      </w:r>
      <w:r>
        <w:rPr>
          <w:rFonts w:ascii="PT Astra Serif" w:hAnsi="PT Astra Serif"/>
          <w:color w:val="000000"/>
          <w:sz w:val="24"/>
          <w:szCs w:val="24"/>
        </w:rPr>
        <w:t xml:space="preserve"> на срок ____________________ с момента подписания настоящего Акта</w:t>
      </w:r>
      <w:r>
        <w:rPr>
          <w:rFonts w:ascii="PT Astra Serif" w:hAnsi="PT Astra Serif"/>
          <w:sz w:val="24"/>
          <w:szCs w:val="24"/>
          <w:shd w:fill="FFFFFF" w:val="clear"/>
        </w:rPr>
        <w:t>:</w:t>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r>
    </w:p>
    <w:tbl>
      <w:tblPr>
        <w:tblW w:w="5000" w:type="pct"/>
        <w:jc w:val="start"/>
        <w:tblInd w:w="103" w:type="dxa"/>
        <w:tblLayout w:type="fixed"/>
        <w:tblCellMar>
          <w:top w:w="0" w:type="dxa"/>
          <w:start w:w="108" w:type="dxa"/>
          <w:bottom w:w="0" w:type="dxa"/>
          <w:end w:w="108" w:type="dxa"/>
        </w:tblCellMar>
        <w:tblLook w:val="04a0" w:firstRow="1" w:noVBand="1" w:lastRow="0" w:firstColumn="1" w:lastColumn="0" w:noHBand="0"/>
      </w:tblPr>
      <w:tblGrid>
        <w:gridCol w:w="5843"/>
        <w:gridCol w:w="1158"/>
        <w:gridCol w:w="3204"/>
      </w:tblGrid>
      <w:tr>
        <w:trPr>
          <w:tblHeader w:val="true"/>
          <w:trHeight w:val="20" w:hRule="atLeast"/>
          <w:cantSplit/>
        </w:trPr>
        <w:tc>
          <w:tcPr>
            <w:tcW w:w="5843"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Наименование Прав</w:t>
            </w:r>
          </w:p>
        </w:tc>
        <w:tc>
          <w:tcPr>
            <w:tcW w:w="1158"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Кол-во, шт.</w:t>
            </w:r>
          </w:p>
        </w:tc>
        <w:tc>
          <w:tcPr>
            <w:tcW w:w="32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Срок действия прав</w:t>
            </w:r>
          </w:p>
        </w:tc>
      </w:tr>
      <w:tr>
        <w:trPr>
          <w:trHeight w:val="20" w:hRule="atLeast"/>
          <w:cantSplit/>
        </w:trPr>
        <w:tc>
          <w:tcPr>
            <w:tcW w:w="584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60" w:after="60"/>
              <w:jc w:val="both"/>
              <w:rPr>
                <w:rFonts w:ascii="PT Astra Serif" w:hAnsi="PT Astra Serif"/>
                <w:sz w:val="24"/>
                <w:szCs w:val="24"/>
              </w:rPr>
            </w:pPr>
            <w:r>
              <w:rPr>
                <w:rFonts w:ascii="PT Astra Serif" w:hAnsi="PT Astra Serif"/>
                <w:sz w:val="24"/>
                <w:szCs w:val="24"/>
              </w:rPr>
            </w:r>
          </w:p>
        </w:tc>
        <w:tc>
          <w:tcPr>
            <w:tcW w:w="115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60" w:after="60"/>
              <w:jc w:val="center"/>
              <w:rPr>
                <w:rFonts w:ascii="PT Astra Serif" w:hAnsi="PT Astra Serif"/>
                <w:sz w:val="24"/>
                <w:szCs w:val="24"/>
              </w:rPr>
            </w:pPr>
            <w:r>
              <w:rPr>
                <w:rFonts w:ascii="PT Astra Serif" w:hAnsi="PT Astra Serif"/>
                <w:sz w:val="24"/>
                <w:szCs w:val="24"/>
              </w:rPr>
            </w:r>
          </w:p>
        </w:tc>
        <w:tc>
          <w:tcPr>
            <w:tcW w:w="32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PT Astra Serif" w:hAnsi="PT Astra Serif"/>
                <w:sz w:val="24"/>
                <w:szCs w:val="24"/>
              </w:rPr>
            </w:pPr>
            <w:r>
              <w:rPr>
                <w:rFonts w:ascii="PT Astra Serif" w:hAnsi="PT Astra Serif"/>
                <w:sz w:val="24"/>
                <w:szCs w:val="24"/>
              </w:rPr>
            </w:r>
          </w:p>
        </w:tc>
      </w:tr>
    </w:tbl>
    <w:p>
      <w:pPr>
        <w:pStyle w:val="Normal"/>
        <w:tabs>
          <w:tab w:val="clear" w:pos="708"/>
          <w:tab w:val="left" w:pos="1276" w:leader="none"/>
        </w:tabs>
        <w:ind w:firstLine="709"/>
        <w:jc w:val="both"/>
        <w:rPr>
          <w:rFonts w:ascii="PT Astra Serif" w:hAnsi="PT Astra Serif"/>
          <w:sz w:val="24"/>
          <w:szCs w:val="24"/>
        </w:rPr>
      </w:pPr>
      <w:r>
        <w:rPr>
          <w:rFonts w:ascii="PT Astra Serif" w:hAnsi="PT Astra Serif"/>
          <w:sz w:val="24"/>
          <w:szCs w:val="24"/>
        </w:rPr>
      </w:r>
    </w:p>
    <w:p>
      <w:pPr>
        <w:pStyle w:val="Normal"/>
        <w:tabs>
          <w:tab w:val="clear" w:pos="708"/>
          <w:tab w:val="left" w:pos="1276" w:leader="none"/>
        </w:tabs>
        <w:ind w:firstLine="709"/>
        <w:jc w:val="both"/>
        <w:rPr>
          <w:rFonts w:ascii="PT Astra Serif" w:hAnsi="PT Astra Serif"/>
          <w:sz w:val="24"/>
          <w:szCs w:val="24"/>
        </w:rPr>
      </w:pPr>
      <w:r>
        <w:rPr>
          <w:rFonts w:ascii="PT Astra Serif" w:hAnsi="PT Astra Serif"/>
          <w:sz w:val="24"/>
          <w:szCs w:val="24"/>
        </w:rPr>
        <w:t>2. Лицензиат выполнил все обязательства в полном объёме в срок с надлежащим качеством. Сублицензиат претензий к Лицензиату не имеет.</w:t>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t xml:space="preserve">3. Настоящий акт составлен в 2 (Двух) экземплярах, имеющих одинаковую юридическую силу, по одному для каждой из Сторон. </w:t>
      </w:r>
    </w:p>
    <w:p>
      <w:pPr>
        <w:pStyle w:val="Normal"/>
        <w:rPr>
          <w:rFonts w:ascii="PT Astra Serif" w:hAnsi="PT Astra Serif"/>
          <w:b/>
          <w:caps/>
          <w:sz w:val="24"/>
          <w:szCs w:val="24"/>
        </w:rPr>
      </w:pPr>
      <w:r>
        <w:rPr>
          <w:rFonts w:ascii="PT Astra Serif" w:hAnsi="PT Astra Serif"/>
          <w:b/>
          <w:caps/>
          <w:sz w:val="24"/>
          <w:szCs w:val="24"/>
        </w:rPr>
      </w:r>
    </w:p>
    <w:tbl>
      <w:tblPr>
        <w:tblW w:w="10206" w:type="dxa"/>
        <w:jc w:val="start"/>
        <w:tblInd w:w="0" w:type="dxa"/>
        <w:tblLayout w:type="fixed"/>
        <w:tblCellMar>
          <w:top w:w="0" w:type="dxa"/>
          <w:start w:w="0" w:type="dxa"/>
          <w:bottom w:w="0" w:type="dxa"/>
          <w:end w:w="0" w:type="dxa"/>
        </w:tblCellMar>
        <w:tblLook w:val="0000" w:firstRow="0" w:noVBand="0" w:lastRow="0" w:firstColumn="0" w:lastColumn="0" w:noHBand="0"/>
      </w:tblPr>
      <w:tblGrid>
        <w:gridCol w:w="5235"/>
        <w:gridCol w:w="4971"/>
      </w:tblGrid>
      <w:tr>
        <w:trPr/>
        <w:tc>
          <w:tcPr>
            <w:tcW w:w="5235" w:type="dxa"/>
            <w:tcBorders/>
          </w:tcPr>
          <w:p>
            <w:pPr>
              <w:pStyle w:val="Normal"/>
              <w:widowControl w:val="false"/>
              <w:rPr>
                <w:rFonts w:ascii="PT Astra Serif" w:hAnsi="PT Astra Serif"/>
                <w:b/>
                <w:bCs/>
                <w:sz w:val="24"/>
                <w:szCs w:val="24"/>
              </w:rPr>
            </w:pPr>
            <w:r>
              <w:rPr>
                <w:rFonts w:ascii="PT Astra Serif" w:hAnsi="PT Astra Serif"/>
                <w:b/>
                <w:bCs/>
                <w:sz w:val="24"/>
                <w:szCs w:val="24"/>
              </w:rPr>
              <w:t>ОТ ЛИЦЕНЗИАТА:</w:t>
            </w:r>
          </w:p>
          <w:p>
            <w:pPr>
              <w:pStyle w:val="Normal"/>
              <w:widowControl w:val="false"/>
              <w:rPr>
                <w:rFonts w:ascii="PT Astra Serif" w:hAnsi="PT Astra Serif"/>
                <w:b/>
                <w:bCs/>
                <w:sz w:val="24"/>
                <w:szCs w:val="24"/>
              </w:rPr>
            </w:pPr>
            <w:r>
              <w:rPr>
                <w:rFonts w:ascii="PT Astra Serif" w:hAnsi="PT Astra Serif"/>
                <w:b/>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__________________/_______________</w:t>
            </w:r>
          </w:p>
          <w:p>
            <w:pPr>
              <w:pStyle w:val="Normal"/>
              <w:widowControl w:val="false"/>
              <w:rPr>
                <w:rFonts w:ascii="PT Astra Serif" w:hAnsi="PT Astra Serif" w:cs="Arial"/>
                <w:bCs/>
                <w:sz w:val="24"/>
                <w:szCs w:val="24"/>
              </w:rPr>
            </w:pPr>
            <w:r>
              <w:rPr>
                <w:rFonts w:cs="Arial" w:ascii="PT Astra Serif" w:hAnsi="PT Astra Serif"/>
                <w:bCs/>
                <w:sz w:val="24"/>
                <w:szCs w:val="24"/>
              </w:rPr>
            </w:r>
          </w:p>
          <w:p>
            <w:pPr>
              <w:pStyle w:val="Normal"/>
              <w:widowControl w:val="false"/>
              <w:rPr>
                <w:rFonts w:ascii="PT Astra Serif" w:hAnsi="PT Astra Serif"/>
                <w:b/>
                <w:bCs/>
                <w:sz w:val="24"/>
                <w:szCs w:val="24"/>
              </w:rPr>
            </w:pPr>
            <w:r>
              <w:rPr>
                <w:rFonts w:cs="Arial" w:ascii="PT Astra Serif" w:hAnsi="PT Astra Serif"/>
                <w:bCs/>
                <w:sz w:val="24"/>
                <w:szCs w:val="24"/>
              </w:rPr>
              <w:t>М.П.</w:t>
            </w:r>
          </w:p>
        </w:tc>
        <w:tc>
          <w:tcPr>
            <w:tcW w:w="4971" w:type="dxa"/>
            <w:tcBorders/>
          </w:tcPr>
          <w:p>
            <w:pPr>
              <w:pStyle w:val="Normal"/>
              <w:rPr>
                <w:rFonts w:ascii="PT Astra Serif" w:hAnsi="PT Astra Serif"/>
                <w:b/>
                <w:sz w:val="24"/>
                <w:szCs w:val="24"/>
              </w:rPr>
            </w:pPr>
            <w:r>
              <w:rPr>
                <w:rFonts w:ascii="PT Astra Serif" w:hAnsi="PT Astra Serif"/>
                <w:b/>
                <w:sz w:val="24"/>
                <w:szCs w:val="24"/>
              </w:rPr>
              <w:t>ОТ СУБЛИЦЕНЗИАТА</w:t>
            </w:r>
          </w:p>
          <w:p>
            <w:pPr>
              <w:pStyle w:val="Normal"/>
              <w:rPr>
                <w:rFonts w:ascii="PT Astra Serif" w:hAnsi="PT Astra Serif"/>
                <w:b/>
                <w:sz w:val="24"/>
                <w:szCs w:val="24"/>
              </w:rPr>
            </w:pPr>
            <w:r>
              <w:rPr>
                <w:rFonts w:ascii="PT Astra Serif" w:hAnsi="PT Astra Serif"/>
                <w:b/>
                <w:sz w:val="24"/>
                <w:szCs w:val="24"/>
              </w:rPr>
              <w:t>(КОНЕЧНОГО ПОЛЬЗОВАТЕЛЯ):</w:t>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__________________/__________</w:t>
            </w:r>
          </w:p>
          <w:p>
            <w:pPr>
              <w:pStyle w:val="Normal"/>
              <w:widowControl w:val="false"/>
              <w:rPr>
                <w:rFonts w:ascii="PT Astra Serif" w:hAnsi="PT Astra Serif" w:cs="Arial"/>
                <w:bCs/>
                <w:sz w:val="24"/>
                <w:szCs w:val="24"/>
              </w:rPr>
            </w:pPr>
            <w:r>
              <w:rPr>
                <w:rFonts w:cs="Arial"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М.П.</w:t>
            </w:r>
          </w:p>
        </w:tc>
      </w:tr>
    </w:tbl>
    <w:p>
      <w:pPr>
        <w:pStyle w:val="Normal"/>
        <w:rPr>
          <w:rFonts w:ascii="PT Astra Serif" w:hAnsi="PT Astra Serif"/>
          <w:color w:val="00000A"/>
          <w:sz w:val="24"/>
        </w:rPr>
      </w:pPr>
      <w:r>
        <w:rPr>
          <w:rFonts w:ascii="PT Astra Serif" w:hAnsi="PT Astra Serif"/>
          <w:color w:val="00000A"/>
          <w:sz w:val="24"/>
        </w:rPr>
      </w:r>
    </w:p>
    <w:p>
      <w:pPr>
        <w:pStyle w:val="Normal"/>
        <w:rPr>
          <w:rFonts w:ascii="PT Astra Serif" w:hAnsi="PT Astra Serif"/>
          <w:color w:val="00000A"/>
          <w:sz w:val="24"/>
        </w:rPr>
      </w:pPr>
      <w:r>
        <w:rPr>
          <w:rFonts w:ascii="PT Astra Serif" w:hAnsi="PT Astra Serif"/>
          <w:color w:val="00000A"/>
          <w:sz w:val="24"/>
        </w:rPr>
      </w:r>
    </w:p>
    <w:sectPr>
      <w:footerReference w:type="even" r:id="rId9"/>
      <w:footerReference w:type="default" r:id="rId10"/>
      <w:footerReference w:type="first" r:id="rId11"/>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26</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abstractNum w:abstractNumId="3">
    <w:lvl w:ilvl="0">
      <w:start w:val="1"/>
      <w:numFmt w:val="decimal"/>
      <w:lvlText w:val="%1."/>
      <w:lvlJc w:val="start"/>
      <w:pPr>
        <w:tabs>
          <w:tab w:val="num" w:pos="0"/>
        </w:tabs>
        <w:ind w:start="720" w:hanging="360"/>
      </w:pPr>
      <w:rPr>
        <w:rFonts w:cs="Times New Roman"/>
      </w:rPr>
    </w:lvl>
    <w:lvl w:ilvl="1">
      <w:start w:val="1"/>
      <w:numFmt w:val="decimal"/>
      <w:isLgl/>
      <w:lvlText w:val="%1.%2."/>
      <w:lvlJc w:val="start"/>
      <w:pPr>
        <w:tabs>
          <w:tab w:val="num" w:pos="0"/>
        </w:tabs>
        <w:ind w:start="1575" w:hanging="1035"/>
      </w:pPr>
      <w:rPr>
        <w:rFonts w:cs="Times New Roman"/>
        <w:i w:val="false"/>
      </w:rPr>
    </w:lvl>
    <w:lvl w:ilvl="2">
      <w:start w:val="1"/>
      <w:numFmt w:val="decimal"/>
      <w:isLgl/>
      <w:lvlText w:val="%1.%2.%3."/>
      <w:lvlJc w:val="start"/>
      <w:pPr>
        <w:tabs>
          <w:tab w:val="num" w:pos="0"/>
        </w:tabs>
        <w:ind w:start="1745" w:hanging="1035"/>
      </w:pPr>
      <w:rPr>
        <w:rFonts w:cs="Times New Roman"/>
      </w:rPr>
    </w:lvl>
    <w:lvl w:ilvl="3">
      <w:start w:val="1"/>
      <w:numFmt w:val="decimal"/>
      <w:isLgl/>
      <w:lvlText w:val="%1.%2.%3.%4."/>
      <w:lvlJc w:val="start"/>
      <w:pPr>
        <w:tabs>
          <w:tab w:val="num" w:pos="0"/>
        </w:tabs>
        <w:ind w:start="1935" w:hanging="1035"/>
      </w:pPr>
      <w:rPr>
        <w:rFonts w:cs="Times New Roman"/>
      </w:rPr>
    </w:lvl>
    <w:lvl w:ilvl="4">
      <w:start w:val="1"/>
      <w:numFmt w:val="decimal"/>
      <w:isLgl/>
      <w:lvlText w:val="%1.%2.%3.%4.%5."/>
      <w:lvlJc w:val="start"/>
      <w:pPr>
        <w:tabs>
          <w:tab w:val="num" w:pos="0"/>
        </w:tabs>
        <w:ind w:start="2160" w:hanging="1080"/>
      </w:pPr>
      <w:rPr>
        <w:rFonts w:cs="Times New Roman"/>
      </w:rPr>
    </w:lvl>
    <w:lvl w:ilvl="5">
      <w:start w:val="1"/>
      <w:numFmt w:val="decimal"/>
      <w:isLgl/>
      <w:lvlText w:val="%1.%2.%3.%4.%5.%6."/>
      <w:lvlJc w:val="start"/>
      <w:pPr>
        <w:tabs>
          <w:tab w:val="num" w:pos="0"/>
        </w:tabs>
        <w:ind w:start="2340" w:hanging="1080"/>
      </w:pPr>
      <w:rPr>
        <w:rFonts w:cs="Times New Roman"/>
      </w:rPr>
    </w:lvl>
    <w:lvl w:ilvl="6">
      <w:start w:val="1"/>
      <w:numFmt w:val="decimal"/>
      <w:isLgl/>
      <w:lvlText w:val="%1.%2.%3.%4.%5.%6.%7."/>
      <w:lvlJc w:val="start"/>
      <w:pPr>
        <w:tabs>
          <w:tab w:val="num" w:pos="0"/>
        </w:tabs>
        <w:ind w:start="2880" w:hanging="1440"/>
      </w:pPr>
      <w:rPr>
        <w:rFonts w:cs="Times New Roman"/>
      </w:rPr>
    </w:lvl>
    <w:lvl w:ilvl="7">
      <w:start w:val="1"/>
      <w:numFmt w:val="decimal"/>
      <w:isLgl/>
      <w:lvlText w:val="%1.%2.%3.%4.%5.%6.%7.%8."/>
      <w:lvlJc w:val="start"/>
      <w:pPr>
        <w:tabs>
          <w:tab w:val="num" w:pos="0"/>
        </w:tabs>
        <w:ind w:start="3060" w:hanging="1440"/>
      </w:pPr>
      <w:rPr>
        <w:rFonts w:cs="Times New Roman"/>
      </w:rPr>
    </w:lvl>
    <w:lvl w:ilvl="8">
      <w:start w:val="1"/>
      <w:numFmt w:val="decimal"/>
      <w:isLgl/>
      <w:lvlText w:val="%1.%2.%3.%4.%5.%6.%7.%8.%9."/>
      <w:lvlJc w:val="start"/>
      <w:pPr>
        <w:tabs>
          <w:tab w:val="num" w:pos="0"/>
        </w:tabs>
        <w:ind w:start="3600" w:hanging="1800"/>
      </w:pPr>
      <w:rPr>
        <w:rFonts w:cs="Times New Roman"/>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Style9" w:customStyle="1">
    <w:name w:val="Символ сноски"/>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user2" w:customStyle="1">
    <w:name w:val="Ссылка указателя (user)"/>
    <w:qFormat/>
    <w:rPr/>
  </w:style>
  <w:style w:type="character" w:styleId="user3" w:customStyle="1">
    <w:name w:val="Символ нумерации (user)"/>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7"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28"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29" w:customStyle="1">
    <w:name w:val="Стиль текста документа Знак"/>
    <w:uiPriority w:val="99"/>
    <w:qFormat/>
    <w:rPr>
      <w:sz w:val="28"/>
      <w:szCs w:val="24"/>
    </w:rPr>
  </w:style>
  <w:style w:type="character" w:styleId="Style30"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1"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2" w:customStyle="1">
    <w:name w:val="Абзац Знак"/>
    <w:uiPriority w:val="99"/>
    <w:qFormat/>
    <w:rPr>
      <w:rFonts w:eastAsia="Arial"/>
      <w:bCs/>
      <w:color w:val="000000"/>
      <w:sz w:val="28"/>
      <w:szCs w:val="24"/>
    </w:rPr>
  </w:style>
  <w:style w:type="character" w:styleId="Style33"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4"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5"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6"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38"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2"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3"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4"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28"/>
    <w:qFormat/>
    <w:pPr>
      <w:spacing w:lineRule="exact" w:line="360" w:before="0" w:after="0"/>
      <w:ind w:firstLine="709"/>
    </w:pPr>
    <w:rPr>
      <w:color w:val="000000"/>
    </w:rPr>
  </w:style>
  <w:style w:type="paragraph" w:styleId="Style46"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7"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48" w:customStyle="1">
    <w:name w:val="Шапка таблицы"/>
    <w:basedOn w:val="128"/>
    <w:qFormat/>
    <w:pPr>
      <w:keepNext w:val="true"/>
      <w:spacing w:before="60" w:after="120"/>
    </w:pPr>
    <w:rPr>
      <w:b/>
      <w:color w:val="000000"/>
      <w:sz w:val="22"/>
    </w:rPr>
  </w:style>
  <w:style w:type="paragraph" w:styleId="user7" w:customStyle="1">
    <w:name w:val="Содержимое таблицы (user)"/>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user8" w:customStyle="1">
    <w:name w:val="Блочная цитата (user)"/>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49"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0"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1" w:customStyle="1">
    <w:name w:val="Текст_таблицы"/>
    <w:basedOn w:val="128"/>
    <w:qFormat/>
    <w:pPr>
      <w:spacing w:lineRule="auto" w:line="360" w:before="0" w:after="0"/>
    </w:pPr>
    <w:rPr>
      <w:rFonts w:ascii="Calibri" w:hAnsi="Calibri"/>
      <w:sz w:val="28"/>
      <w:szCs w:val="28"/>
    </w:rPr>
  </w:style>
  <w:style w:type="paragraph" w:styleId="Style52" w:customStyle="1">
    <w:name w:val="Текст документа"/>
    <w:basedOn w:val="Style49"/>
    <w:uiPriority w:val="99"/>
    <w:qFormat/>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4"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5"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6" w:customStyle="1">
    <w:name w:val="Абзац"/>
    <w:basedOn w:val="128"/>
    <w:uiPriority w:val="99"/>
    <w:qFormat/>
    <w:pPr>
      <w:spacing w:lineRule="auto" w:line="360" w:beforeAutospacing="1" w:afterAutospacing="1"/>
    </w:pPr>
    <w:rPr>
      <w:rFonts w:eastAsia="Arial"/>
      <w:bCs/>
      <w:color w:val="000000"/>
      <w:sz w:val="28"/>
    </w:rPr>
  </w:style>
  <w:style w:type="paragraph" w:styleId="Style57" w:customStyle="1">
    <w:name w:val="Спис"/>
    <w:basedOn w:val="Style56"/>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58"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59"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0" w:customStyle="1">
    <w:name w:val="А"/>
    <w:basedOn w:val="145"/>
    <w:qFormat/>
    <w:pPr>
      <w:ind w:hanging="0" w:start="0"/>
    </w:pPr>
    <w:rPr/>
  </w:style>
  <w:style w:type="paragraph" w:styleId="146" w:customStyle="1">
    <w:name w:val="А.1"/>
    <w:basedOn w:val="Style60"/>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1"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2" w:customStyle="1">
    <w:name w:val="Пункт"/>
    <w:basedOn w:val="Normal"/>
    <w:pPr>
      <w:widowControl w:val="false"/>
      <w:spacing w:before="180" w:after="120"/>
      <w:ind w:firstLine="709"/>
      <w:jc w:val="both"/>
    </w:pPr>
    <w:rPr>
      <w:sz w:val="24"/>
      <w:lang w:eastAsia="ar-SA"/>
    </w:rPr>
  </w:style>
  <w:style w:type="paragraph" w:styleId="user9" w:customStyle="1">
    <w:name w:val="Заголовок таблицы (user)"/>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Style63" w:default="1">
    <w:name w:val="Без списка"/>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hyperlink" Target="https://tlscc.ru/" TargetMode="External"/><Relationship Id="rId8" Type="http://schemas.openxmlformats.org/officeDocument/2006/relationships/hyperlink" Target="mailto:adm@ygorsk.ru" TargetMode="Externa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Application>LibreOffice/26.8.0.1$Windows_X86_64 LibreOffice_project/2577b8a8e9a5d3f37124fb86a89387e3807953a7</Application>
  <AppVersion>15.0000</AppVersion>
  <Pages>26</Pages>
  <Words>10013</Words>
  <Characters>71241</Characters>
  <CharactersWithSpaces>80907</CharactersWithSpaces>
  <Paragraphs>563</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2026-10-05T14:56:26Z</cp:lastPrinted>
  <dcterms:modified xsi:type="dcterms:W3CDTF">2026-10-07T15:12:45Z</dcterms:modified>
  <cp:revision>323</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